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D87CDE" w:rsidRDefault="00D87CDE">
      <w:pPr>
        <w:pStyle w:val="PURBody"/>
        <w:shd w:val="clear" w:color="auto" w:fill="00188F"/>
        <w:tabs>
          <w:tab w:val="clear" w:pos="360"/>
        </w:tabs>
        <w:ind w:right="7920" w:firstLine="360"/>
        <w:rPr>
          <w:color w:val="FFFFFF"/>
          <w:sz w:val="6"/>
          <w:szCs w:val="6"/>
        </w:rPr>
      </w:pPr>
    </w:p>
    <w:p w:rsidR="00D87CDE" w:rsidRDefault="00AC602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D87CDE" w:rsidRDefault="00AC602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D87CDE" w:rsidRDefault="00D87CDE">
      <w:pPr>
        <w:pStyle w:val="PURBody"/>
        <w:shd w:val="clear" w:color="auto" w:fill="00188F"/>
        <w:tabs>
          <w:tab w:val="clear" w:pos="360"/>
        </w:tabs>
        <w:spacing w:after="0"/>
        <w:ind w:right="7920" w:firstLine="360"/>
        <w:rPr>
          <w:color w:val="FFFFFF" w:themeColor="background1"/>
          <w:szCs w:val="18"/>
        </w:rPr>
      </w:pPr>
    </w:p>
    <w:p w:rsidR="00D87CDE" w:rsidRDefault="00D87CDE">
      <w:pPr>
        <w:pStyle w:val="PURBody"/>
        <w:shd w:val="clear" w:color="auto" w:fill="00188F"/>
        <w:tabs>
          <w:tab w:val="clear" w:pos="360"/>
        </w:tabs>
        <w:spacing w:after="0"/>
        <w:ind w:right="7920" w:firstLine="360"/>
        <w:rPr>
          <w:color w:val="FFFFFF" w:themeColor="background1"/>
          <w:szCs w:val="18"/>
        </w:rPr>
      </w:pPr>
    </w:p>
    <w:p w:rsidR="00D87CDE" w:rsidRDefault="00D87CDE">
      <w:pPr>
        <w:pStyle w:val="PURBody"/>
        <w:shd w:val="clear" w:color="auto" w:fill="00188F"/>
        <w:tabs>
          <w:tab w:val="clear" w:pos="360"/>
        </w:tabs>
        <w:spacing w:after="0"/>
        <w:ind w:right="7920" w:firstLine="360"/>
        <w:rPr>
          <w:color w:val="FFFFFF" w:themeColor="background1"/>
          <w:szCs w:val="18"/>
        </w:rPr>
      </w:pPr>
    </w:p>
    <w:p w:rsidR="00D87CDE" w:rsidRDefault="00D87CDE">
      <w:pPr>
        <w:pStyle w:val="PURBody"/>
        <w:shd w:val="clear" w:color="auto" w:fill="00188F"/>
        <w:tabs>
          <w:tab w:val="clear" w:pos="360"/>
        </w:tabs>
        <w:spacing w:after="0"/>
        <w:ind w:right="7920" w:firstLine="360"/>
        <w:rPr>
          <w:color w:val="FFFFFF" w:themeColor="background1"/>
          <w:szCs w:val="18"/>
        </w:rPr>
      </w:pPr>
    </w:p>
    <w:p w:rsidR="00D87CDE" w:rsidRDefault="00D87CDE">
      <w:pPr>
        <w:pStyle w:val="PURBody"/>
        <w:shd w:val="clear" w:color="auto" w:fill="00188F"/>
        <w:tabs>
          <w:tab w:val="clear" w:pos="360"/>
        </w:tabs>
        <w:spacing w:after="0"/>
        <w:ind w:right="7920" w:firstLine="360"/>
        <w:rPr>
          <w:color w:val="FFFFFF" w:themeColor="background1"/>
          <w:szCs w:val="18"/>
        </w:rPr>
      </w:pPr>
    </w:p>
    <w:p w:rsidR="00D87CDE" w:rsidRDefault="00D87CDE">
      <w:pPr>
        <w:pStyle w:val="PURBody"/>
        <w:shd w:val="clear" w:color="auto" w:fill="0072C6"/>
        <w:tabs>
          <w:tab w:val="clear" w:pos="360"/>
        </w:tabs>
        <w:ind w:right="1800" w:firstLine="360"/>
        <w:rPr>
          <w:sz w:val="72"/>
          <w:szCs w:val="72"/>
        </w:rPr>
      </w:pPr>
    </w:p>
    <w:p w:rsidR="00D87CDE" w:rsidRDefault="00D87CDE">
      <w:pPr>
        <w:pStyle w:val="PURBody"/>
        <w:shd w:val="clear" w:color="auto" w:fill="0072C6"/>
        <w:tabs>
          <w:tab w:val="clear" w:pos="360"/>
          <w:tab w:val="left" w:pos="180"/>
        </w:tabs>
        <w:ind w:right="1800" w:firstLine="360"/>
        <w:rPr>
          <w:color w:val="FFFFFF" w:themeColor="background1"/>
          <w:sz w:val="72"/>
          <w:szCs w:val="72"/>
        </w:rPr>
      </w:pPr>
    </w:p>
    <w:p w:rsidR="00D87CDE" w:rsidRDefault="00AC602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D87CDE" w:rsidRDefault="00AC602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junho de 2016</w:t>
      </w:r>
    </w:p>
    <w:p w:rsidR="00D87CDE" w:rsidRDefault="00D87CDE">
      <w:pPr>
        <w:pStyle w:val="PURBody"/>
        <w:shd w:val="clear" w:color="auto" w:fill="0072C6"/>
        <w:tabs>
          <w:tab w:val="clear" w:pos="360"/>
        </w:tabs>
        <w:spacing w:after="0" w:line="230" w:lineRule="auto"/>
        <w:ind w:right="1800" w:firstLine="360"/>
        <w:rPr>
          <w:color w:val="FFFFFF" w:themeColor="background1"/>
          <w:sz w:val="96"/>
          <w:szCs w:val="96"/>
        </w:rPr>
      </w:pPr>
    </w:p>
    <w:p w:rsidR="00D87CDE" w:rsidRDefault="00AC602F">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87CDE" w:rsidRDefault="00D87CDE">
      <w:pPr>
        <w:sectPr w:rsidR="00D87CD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87CDE" w:rsidRDefault="00AC602F">
      <w:pPr>
        <w:pStyle w:val="ProductList-SectionHeading"/>
        <w:pageBreakBefore/>
      </w:pPr>
      <w:bookmarkStart w:id="0" w:name="_Sec842"/>
      <w:r>
        <w:lastRenderedPageBreak/>
        <w:t>Índice</w:t>
      </w:r>
    </w:p>
    <w:p w:rsidR="00D87CDE" w:rsidRDefault="00D87CDE">
      <w:pPr>
        <w:pStyle w:val="ProductList-Body"/>
      </w:pPr>
    </w:p>
    <w:p w:rsidR="00D87CDE" w:rsidRDefault="00D87CDE">
      <w:pPr>
        <w:sectPr w:rsidR="00D87CDE">
          <w:headerReference w:type="default" r:id="rId16"/>
          <w:footerReference w:type="default" r:id="rId17"/>
          <w:type w:val="continuous"/>
          <w:pgSz w:w="12240" w:h="15840" w:code="1"/>
          <w:pgMar w:top="1170" w:right="720" w:bottom="1620" w:left="720" w:header="432" w:footer="288" w:gutter="0"/>
          <w:cols w:space="360"/>
        </w:sectPr>
      </w:pPr>
    </w:p>
    <w:p w:rsidR="00AC602F" w:rsidRDefault="00AC602F">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10437" w:history="1">
        <w:r w:rsidRPr="005F16D8">
          <w:rPr>
            <w:rStyle w:val="Hyperlink"/>
            <w:noProof/>
          </w:rPr>
          <w:t>Introdução</w:t>
        </w:r>
        <w:r>
          <w:rPr>
            <w:noProof/>
          </w:rPr>
          <w:tab/>
        </w:r>
        <w:r>
          <w:rPr>
            <w:noProof/>
          </w:rPr>
          <w:fldChar w:fldCharType="begin"/>
        </w:r>
        <w:r>
          <w:rPr>
            <w:noProof/>
          </w:rPr>
          <w:instrText xml:space="preserve"> PAGEREF _Toc452110437 \h </w:instrText>
        </w:r>
        <w:r>
          <w:rPr>
            <w:noProof/>
          </w:rPr>
        </w:r>
        <w:r>
          <w:rPr>
            <w:noProof/>
          </w:rPr>
          <w:fldChar w:fldCharType="separate"/>
        </w:r>
        <w:r>
          <w:rPr>
            <w:noProof/>
          </w:rPr>
          <w:t>4</w:t>
        </w:r>
        <w:r>
          <w:rPr>
            <w:noProof/>
          </w:rPr>
          <w:fldChar w:fldCharType="end"/>
        </w:r>
      </w:hyperlink>
    </w:p>
    <w:p w:rsidR="00AC602F" w:rsidRDefault="0050418C">
      <w:pPr>
        <w:pStyle w:val="TOC2"/>
        <w:rPr>
          <w:rFonts w:eastAsiaTheme="minorEastAsia"/>
          <w:smallCaps w:val="0"/>
          <w:sz w:val="22"/>
          <w:lang w:eastAsia="zh-TW"/>
        </w:rPr>
      </w:pPr>
      <w:hyperlink w:anchor="_Toc452110438" w:history="1">
        <w:r w:rsidR="00AC602F" w:rsidRPr="005F16D8">
          <w:rPr>
            <w:rStyle w:val="Hyperlink"/>
          </w:rPr>
          <w:t>Acerca deste Documento</w:t>
        </w:r>
        <w:r w:rsidR="00AC602F">
          <w:tab/>
        </w:r>
        <w:r w:rsidR="00AC602F">
          <w:fldChar w:fldCharType="begin"/>
        </w:r>
        <w:r w:rsidR="00AC602F">
          <w:instrText xml:space="preserve"> PAGEREF _Toc452110438 \h </w:instrText>
        </w:r>
        <w:r w:rsidR="00AC602F">
          <w:fldChar w:fldCharType="separate"/>
        </w:r>
        <w:r w:rsidR="00AC602F">
          <w:t>4</w:t>
        </w:r>
        <w:r w:rsidR="00AC602F">
          <w:fldChar w:fldCharType="end"/>
        </w:r>
      </w:hyperlink>
    </w:p>
    <w:p w:rsidR="00AC602F" w:rsidRDefault="0050418C">
      <w:pPr>
        <w:pStyle w:val="TOC2"/>
        <w:rPr>
          <w:rFonts w:eastAsiaTheme="minorEastAsia"/>
          <w:smallCaps w:val="0"/>
          <w:sz w:val="22"/>
          <w:lang w:eastAsia="zh-TW"/>
        </w:rPr>
      </w:pPr>
      <w:hyperlink w:anchor="_Toc452110439" w:history="1">
        <w:r w:rsidR="00AC602F" w:rsidRPr="005F16D8">
          <w:rPr>
            <w:rStyle w:val="Hyperlink"/>
          </w:rPr>
          <w:t>Incluído Neste Documento</w:t>
        </w:r>
        <w:r w:rsidR="00AC602F">
          <w:tab/>
        </w:r>
        <w:r w:rsidR="00AC602F">
          <w:fldChar w:fldCharType="begin"/>
        </w:r>
        <w:r w:rsidR="00AC602F">
          <w:instrText xml:space="preserve"> PAGEREF _Toc452110439 \h </w:instrText>
        </w:r>
        <w:r w:rsidR="00AC602F">
          <w:fldChar w:fldCharType="separate"/>
        </w:r>
        <w:r w:rsidR="00AC602F">
          <w:t>4</w:t>
        </w:r>
        <w:r w:rsidR="00AC602F">
          <w:fldChar w:fldCharType="end"/>
        </w:r>
      </w:hyperlink>
    </w:p>
    <w:p w:rsidR="00AC602F" w:rsidRDefault="0050418C">
      <w:pPr>
        <w:pStyle w:val="TOC2"/>
        <w:rPr>
          <w:rFonts w:eastAsiaTheme="minorEastAsia"/>
          <w:smallCaps w:val="0"/>
          <w:sz w:val="22"/>
          <w:lang w:eastAsia="zh-TW"/>
        </w:rPr>
      </w:pPr>
      <w:hyperlink w:anchor="_Toc452110440" w:history="1">
        <w:r w:rsidR="00AC602F" w:rsidRPr="005F16D8">
          <w:rPr>
            <w:rStyle w:val="Hyperlink"/>
          </w:rPr>
          <w:t>Como Navegar numa Entrada de Produto</w:t>
        </w:r>
        <w:r w:rsidR="00AC602F">
          <w:tab/>
        </w:r>
        <w:r w:rsidR="00AC602F">
          <w:fldChar w:fldCharType="begin"/>
        </w:r>
        <w:r w:rsidR="00AC602F">
          <w:instrText xml:space="preserve"> PAGEREF _Toc452110440 \h </w:instrText>
        </w:r>
        <w:r w:rsidR="00AC602F">
          <w:fldChar w:fldCharType="separate"/>
        </w:r>
        <w:r w:rsidR="00AC602F">
          <w:t>4</w:t>
        </w:r>
        <w:r w:rsidR="00AC602F">
          <w:fldChar w:fldCharType="end"/>
        </w:r>
      </w:hyperlink>
    </w:p>
    <w:p w:rsidR="00AC602F" w:rsidRDefault="0050418C">
      <w:pPr>
        <w:pStyle w:val="TOC2"/>
        <w:rPr>
          <w:rFonts w:eastAsiaTheme="minorEastAsia"/>
          <w:smallCaps w:val="0"/>
          <w:sz w:val="22"/>
          <w:lang w:eastAsia="zh-TW"/>
        </w:rPr>
      </w:pPr>
      <w:hyperlink w:anchor="_Toc452110441" w:history="1">
        <w:r w:rsidR="00AC602F" w:rsidRPr="005F16D8">
          <w:rPr>
            <w:rStyle w:val="Hyperlink"/>
          </w:rPr>
          <w:t>Clarificações e Resumo de Alterações a este Documento</w:t>
        </w:r>
        <w:r w:rsidR="00AC602F">
          <w:tab/>
        </w:r>
        <w:r w:rsidR="00AC602F">
          <w:fldChar w:fldCharType="begin"/>
        </w:r>
        <w:r w:rsidR="00AC602F">
          <w:instrText xml:space="preserve"> PAGEREF _Toc452110441 \h </w:instrText>
        </w:r>
        <w:r w:rsidR="00AC602F">
          <w:fldChar w:fldCharType="separate"/>
        </w:r>
        <w:r w:rsidR="00AC602F">
          <w:t>5</w:t>
        </w:r>
        <w:r w:rsidR="00AC602F">
          <w:fldChar w:fldCharType="end"/>
        </w:r>
      </w:hyperlink>
    </w:p>
    <w:p w:rsidR="00AC602F" w:rsidRDefault="0050418C">
      <w:pPr>
        <w:pStyle w:val="TOC1"/>
        <w:rPr>
          <w:rFonts w:eastAsiaTheme="minorEastAsia"/>
          <w:b w:val="0"/>
          <w:caps w:val="0"/>
          <w:noProof/>
          <w:sz w:val="22"/>
          <w:szCs w:val="22"/>
          <w:lang w:eastAsia="zh-TW"/>
        </w:rPr>
      </w:pPr>
      <w:hyperlink w:anchor="_Toc452110442" w:history="1">
        <w:r w:rsidR="00AC602F" w:rsidRPr="005F16D8">
          <w:rPr>
            <w:rStyle w:val="Hyperlink"/>
            <w:noProof/>
          </w:rPr>
          <w:t>Termos de Licenciamento</w:t>
        </w:r>
        <w:r w:rsidR="00AC602F">
          <w:rPr>
            <w:noProof/>
          </w:rPr>
          <w:tab/>
        </w:r>
        <w:r w:rsidR="00AC602F">
          <w:rPr>
            <w:noProof/>
          </w:rPr>
          <w:fldChar w:fldCharType="begin"/>
        </w:r>
        <w:r w:rsidR="00AC602F">
          <w:rPr>
            <w:noProof/>
          </w:rPr>
          <w:instrText xml:space="preserve"> PAGEREF _Toc452110442 \h </w:instrText>
        </w:r>
        <w:r w:rsidR="00AC602F">
          <w:rPr>
            <w:noProof/>
          </w:rPr>
        </w:r>
        <w:r w:rsidR="00AC602F">
          <w:rPr>
            <w:noProof/>
          </w:rPr>
          <w:fldChar w:fldCharType="separate"/>
        </w:r>
        <w:r w:rsidR="00AC602F">
          <w:rPr>
            <w:noProof/>
          </w:rPr>
          <w:t>7</w:t>
        </w:r>
        <w:r w:rsidR="00AC602F">
          <w:rPr>
            <w:noProof/>
          </w:rPr>
          <w:fldChar w:fldCharType="end"/>
        </w:r>
      </w:hyperlink>
    </w:p>
    <w:p w:rsidR="00AC602F" w:rsidRDefault="0050418C">
      <w:pPr>
        <w:pStyle w:val="TOC2"/>
        <w:rPr>
          <w:rFonts w:eastAsiaTheme="minorEastAsia"/>
          <w:smallCaps w:val="0"/>
          <w:sz w:val="22"/>
          <w:lang w:eastAsia="zh-TW"/>
        </w:rPr>
      </w:pPr>
      <w:hyperlink w:anchor="_Toc452110443" w:history="1">
        <w:r w:rsidR="00AC602F" w:rsidRPr="005F16D8">
          <w:rPr>
            <w:rStyle w:val="Hyperlink"/>
          </w:rPr>
          <w:t>Termos de Licenciamento Universal</w:t>
        </w:r>
        <w:r w:rsidR="00AC602F">
          <w:tab/>
        </w:r>
        <w:r w:rsidR="00AC602F">
          <w:fldChar w:fldCharType="begin"/>
        </w:r>
        <w:r w:rsidR="00AC602F">
          <w:instrText xml:space="preserve"> PAGEREF _Toc452110443 \h </w:instrText>
        </w:r>
        <w:r w:rsidR="00AC602F">
          <w:fldChar w:fldCharType="separate"/>
        </w:r>
        <w:r w:rsidR="00AC602F">
          <w:t>7</w:t>
        </w:r>
        <w:r w:rsidR="00AC602F">
          <w:fldChar w:fldCharType="end"/>
        </w:r>
      </w:hyperlink>
    </w:p>
    <w:p w:rsidR="00AC602F" w:rsidRDefault="0050418C">
      <w:pPr>
        <w:pStyle w:val="TOC2"/>
        <w:rPr>
          <w:rFonts w:eastAsiaTheme="minorEastAsia"/>
          <w:smallCaps w:val="0"/>
          <w:sz w:val="22"/>
          <w:lang w:eastAsia="zh-TW"/>
        </w:rPr>
      </w:pPr>
      <w:hyperlink w:anchor="_Toc452110444" w:history="1">
        <w:r w:rsidR="00AC602F" w:rsidRPr="005F16D8">
          <w:rPr>
            <w:rStyle w:val="Hyperlink"/>
          </w:rPr>
          <w:t>Termos de Modelo de Licenciamento</w:t>
        </w:r>
        <w:r w:rsidR="00AC602F">
          <w:tab/>
        </w:r>
        <w:r w:rsidR="00AC602F">
          <w:fldChar w:fldCharType="begin"/>
        </w:r>
        <w:r w:rsidR="00AC602F">
          <w:instrText xml:space="preserve"> PAGEREF _Toc452110444 \h </w:instrText>
        </w:r>
        <w:r w:rsidR="00AC602F">
          <w:fldChar w:fldCharType="separate"/>
        </w:r>
        <w:r w:rsidR="00AC602F">
          <w:t>10</w:t>
        </w:r>
        <w:r w:rsidR="00AC602F">
          <w:fldChar w:fldCharType="end"/>
        </w:r>
      </w:hyperlink>
    </w:p>
    <w:p w:rsidR="00AC602F" w:rsidRDefault="0050418C">
      <w:pPr>
        <w:pStyle w:val="TOC3"/>
        <w:rPr>
          <w:rFonts w:eastAsiaTheme="minorEastAsia"/>
          <w:smallCaps w:val="0"/>
          <w:sz w:val="22"/>
          <w:lang w:eastAsia="zh-TW"/>
        </w:rPr>
      </w:pPr>
      <w:hyperlink w:anchor="_Toc452110445" w:history="1">
        <w:r w:rsidR="00AC602F" w:rsidRPr="005F16D8">
          <w:rPr>
            <w:rStyle w:val="Hyperlink"/>
          </w:rPr>
          <w:t>Aplicações de Estação de Trabalho</w:t>
        </w:r>
        <w:r w:rsidR="00AC602F">
          <w:tab/>
        </w:r>
        <w:r w:rsidR="00AC602F">
          <w:fldChar w:fldCharType="begin"/>
        </w:r>
        <w:r w:rsidR="00AC602F">
          <w:instrText xml:space="preserve"> PAGEREF _Toc452110445 \h </w:instrText>
        </w:r>
        <w:r w:rsidR="00AC602F">
          <w:fldChar w:fldCharType="separate"/>
        </w:r>
        <w:r w:rsidR="00AC602F">
          <w:t>10</w:t>
        </w:r>
        <w:r w:rsidR="00AC602F">
          <w:fldChar w:fldCharType="end"/>
        </w:r>
      </w:hyperlink>
    </w:p>
    <w:p w:rsidR="00AC602F" w:rsidRDefault="0050418C">
      <w:pPr>
        <w:pStyle w:val="TOC3"/>
        <w:rPr>
          <w:rFonts w:eastAsiaTheme="minorEastAsia"/>
          <w:smallCaps w:val="0"/>
          <w:sz w:val="22"/>
          <w:lang w:eastAsia="zh-TW"/>
        </w:rPr>
      </w:pPr>
      <w:hyperlink w:anchor="_Toc452110446" w:history="1">
        <w:r w:rsidR="00AC602F" w:rsidRPr="005F16D8">
          <w:rPr>
            <w:rStyle w:val="Hyperlink"/>
          </w:rPr>
          <w:t>Sistemas Operativos de Estação de Trabalho</w:t>
        </w:r>
        <w:r w:rsidR="00AC602F">
          <w:tab/>
        </w:r>
        <w:r w:rsidR="00AC602F">
          <w:fldChar w:fldCharType="begin"/>
        </w:r>
        <w:r w:rsidR="00AC602F">
          <w:instrText xml:space="preserve"> PAGEREF _Toc452110446 \h </w:instrText>
        </w:r>
        <w:r w:rsidR="00AC602F">
          <w:fldChar w:fldCharType="separate"/>
        </w:r>
        <w:r w:rsidR="00AC602F">
          <w:t>10</w:t>
        </w:r>
        <w:r w:rsidR="00AC602F">
          <w:fldChar w:fldCharType="end"/>
        </w:r>
      </w:hyperlink>
    </w:p>
    <w:p w:rsidR="00AC602F" w:rsidRDefault="0050418C">
      <w:pPr>
        <w:pStyle w:val="TOC3"/>
        <w:rPr>
          <w:rFonts w:eastAsiaTheme="minorEastAsia"/>
          <w:smallCaps w:val="0"/>
          <w:sz w:val="22"/>
          <w:lang w:eastAsia="zh-TW"/>
        </w:rPr>
      </w:pPr>
      <w:hyperlink w:anchor="_Toc452110447" w:history="1">
        <w:r w:rsidR="00AC602F" w:rsidRPr="005F16D8">
          <w:rPr>
            <w:rStyle w:val="Hyperlink"/>
          </w:rPr>
          <w:t>Processador/CAL</w:t>
        </w:r>
        <w:r w:rsidR="00AC602F">
          <w:tab/>
        </w:r>
        <w:r w:rsidR="00AC602F">
          <w:fldChar w:fldCharType="begin"/>
        </w:r>
        <w:r w:rsidR="00AC602F">
          <w:instrText xml:space="preserve"> PAGEREF _Toc452110447 \h </w:instrText>
        </w:r>
        <w:r w:rsidR="00AC602F">
          <w:fldChar w:fldCharType="separate"/>
        </w:r>
        <w:r w:rsidR="00AC602F">
          <w:t>10</w:t>
        </w:r>
        <w:r w:rsidR="00AC602F">
          <w:fldChar w:fldCharType="end"/>
        </w:r>
      </w:hyperlink>
    </w:p>
    <w:p w:rsidR="00AC602F" w:rsidRDefault="0050418C">
      <w:pPr>
        <w:pStyle w:val="TOC3"/>
        <w:rPr>
          <w:rFonts w:eastAsiaTheme="minorEastAsia"/>
          <w:smallCaps w:val="0"/>
          <w:sz w:val="22"/>
          <w:lang w:eastAsia="zh-TW"/>
        </w:rPr>
      </w:pPr>
      <w:hyperlink w:anchor="_Toc452110448" w:history="1">
        <w:r w:rsidR="00AC602F" w:rsidRPr="005F16D8">
          <w:rPr>
            <w:rStyle w:val="Hyperlink"/>
          </w:rPr>
          <w:t>Servidor/CAL</w:t>
        </w:r>
        <w:r w:rsidR="00AC602F">
          <w:tab/>
        </w:r>
        <w:r w:rsidR="00AC602F">
          <w:fldChar w:fldCharType="begin"/>
        </w:r>
        <w:r w:rsidR="00AC602F">
          <w:instrText xml:space="preserve"> PAGEREF _Toc452110448 \h </w:instrText>
        </w:r>
        <w:r w:rsidR="00AC602F">
          <w:fldChar w:fldCharType="separate"/>
        </w:r>
        <w:r w:rsidR="00AC602F">
          <w:t>11</w:t>
        </w:r>
        <w:r w:rsidR="00AC602F">
          <w:fldChar w:fldCharType="end"/>
        </w:r>
      </w:hyperlink>
    </w:p>
    <w:p w:rsidR="00AC602F" w:rsidRDefault="0050418C">
      <w:pPr>
        <w:pStyle w:val="TOC3"/>
        <w:rPr>
          <w:rFonts w:eastAsiaTheme="minorEastAsia"/>
          <w:smallCaps w:val="0"/>
          <w:sz w:val="22"/>
          <w:lang w:eastAsia="zh-TW"/>
        </w:rPr>
      </w:pPr>
      <w:hyperlink w:anchor="_Toc452110449" w:history="1">
        <w:r w:rsidR="00AC602F" w:rsidRPr="005F16D8">
          <w:rPr>
            <w:rStyle w:val="Hyperlink"/>
          </w:rPr>
          <w:t>Por Núcleo</w:t>
        </w:r>
        <w:r w:rsidR="00AC602F">
          <w:tab/>
        </w:r>
        <w:r w:rsidR="00AC602F">
          <w:fldChar w:fldCharType="begin"/>
        </w:r>
        <w:r w:rsidR="00AC602F">
          <w:instrText xml:space="preserve"> PAGEREF _Toc452110449 \h </w:instrText>
        </w:r>
        <w:r w:rsidR="00AC602F">
          <w:fldChar w:fldCharType="separate"/>
        </w:r>
        <w:r w:rsidR="00AC602F">
          <w:t>11</w:t>
        </w:r>
        <w:r w:rsidR="00AC602F">
          <w:fldChar w:fldCharType="end"/>
        </w:r>
      </w:hyperlink>
    </w:p>
    <w:p w:rsidR="00AC602F" w:rsidRDefault="0050418C">
      <w:pPr>
        <w:pStyle w:val="TOC3"/>
        <w:rPr>
          <w:rFonts w:eastAsiaTheme="minorEastAsia"/>
          <w:smallCaps w:val="0"/>
          <w:sz w:val="22"/>
          <w:lang w:eastAsia="zh-TW"/>
        </w:rPr>
      </w:pPr>
      <w:hyperlink w:anchor="_Toc452110450" w:history="1">
        <w:r w:rsidR="00AC602F" w:rsidRPr="005F16D8">
          <w:rPr>
            <w:rStyle w:val="Hyperlink"/>
          </w:rPr>
          <w:t>Servidores de Gestão</w:t>
        </w:r>
        <w:r w:rsidR="00AC602F">
          <w:tab/>
        </w:r>
        <w:r w:rsidR="00AC602F">
          <w:fldChar w:fldCharType="begin"/>
        </w:r>
        <w:r w:rsidR="00AC602F">
          <w:instrText xml:space="preserve"> PAGEREF _Toc452110450 \h </w:instrText>
        </w:r>
        <w:r w:rsidR="00AC602F">
          <w:fldChar w:fldCharType="separate"/>
        </w:r>
        <w:r w:rsidR="00AC602F">
          <w:t>11</w:t>
        </w:r>
        <w:r w:rsidR="00AC602F">
          <w:fldChar w:fldCharType="end"/>
        </w:r>
      </w:hyperlink>
    </w:p>
    <w:p w:rsidR="00AC602F" w:rsidRDefault="0050418C">
      <w:pPr>
        <w:pStyle w:val="TOC3"/>
        <w:rPr>
          <w:rFonts w:eastAsiaTheme="minorEastAsia"/>
          <w:smallCaps w:val="0"/>
          <w:sz w:val="22"/>
          <w:lang w:eastAsia="zh-TW"/>
        </w:rPr>
      </w:pPr>
      <w:hyperlink w:anchor="_Toc452110451" w:history="1">
        <w:r w:rsidR="00AC602F" w:rsidRPr="005F16D8">
          <w:rPr>
            <w:rStyle w:val="Hyperlink"/>
          </w:rPr>
          <w:t>Servidores Especializados</w:t>
        </w:r>
        <w:r w:rsidR="00AC602F">
          <w:tab/>
        </w:r>
        <w:r w:rsidR="00AC602F">
          <w:fldChar w:fldCharType="begin"/>
        </w:r>
        <w:r w:rsidR="00AC602F">
          <w:instrText xml:space="preserve"> PAGEREF _Toc452110451 \h </w:instrText>
        </w:r>
        <w:r w:rsidR="00AC602F">
          <w:fldChar w:fldCharType="separate"/>
        </w:r>
        <w:r w:rsidR="00AC602F">
          <w:t>12</w:t>
        </w:r>
        <w:r w:rsidR="00AC602F">
          <w:fldChar w:fldCharType="end"/>
        </w:r>
      </w:hyperlink>
    </w:p>
    <w:p w:rsidR="00AC602F" w:rsidRDefault="0050418C">
      <w:pPr>
        <w:pStyle w:val="TOC3"/>
        <w:rPr>
          <w:rFonts w:eastAsiaTheme="minorEastAsia"/>
          <w:smallCaps w:val="0"/>
          <w:sz w:val="22"/>
          <w:lang w:eastAsia="zh-TW"/>
        </w:rPr>
      </w:pPr>
      <w:hyperlink w:anchor="_Toc452110452" w:history="1">
        <w:r w:rsidR="00AC602F" w:rsidRPr="005F16D8">
          <w:rPr>
            <w:rStyle w:val="Hyperlink"/>
          </w:rPr>
          <w:t>Ferramentas de Programador</w:t>
        </w:r>
        <w:r w:rsidR="00AC602F">
          <w:tab/>
        </w:r>
        <w:r w:rsidR="00AC602F">
          <w:fldChar w:fldCharType="begin"/>
        </w:r>
        <w:r w:rsidR="00AC602F">
          <w:instrText xml:space="preserve"> PAGEREF _Toc452110452 \h </w:instrText>
        </w:r>
        <w:r w:rsidR="00AC602F">
          <w:fldChar w:fldCharType="separate"/>
        </w:r>
        <w:r w:rsidR="00AC602F">
          <w:t>12</w:t>
        </w:r>
        <w:r w:rsidR="00AC602F">
          <w:fldChar w:fldCharType="end"/>
        </w:r>
      </w:hyperlink>
    </w:p>
    <w:p w:rsidR="00AC602F" w:rsidRDefault="0050418C">
      <w:pPr>
        <w:pStyle w:val="TOC1"/>
        <w:rPr>
          <w:rFonts w:eastAsiaTheme="minorEastAsia"/>
          <w:b w:val="0"/>
          <w:caps w:val="0"/>
          <w:noProof/>
          <w:sz w:val="22"/>
          <w:szCs w:val="22"/>
          <w:lang w:eastAsia="zh-TW"/>
        </w:rPr>
      </w:pPr>
      <w:hyperlink w:anchor="_Toc452110453" w:history="1">
        <w:r w:rsidR="00AC602F" w:rsidRPr="005F16D8">
          <w:rPr>
            <w:rStyle w:val="Hyperlink"/>
            <w:noProof/>
          </w:rPr>
          <w:t>Software</w:t>
        </w:r>
        <w:r w:rsidR="00AC602F">
          <w:rPr>
            <w:noProof/>
          </w:rPr>
          <w:tab/>
        </w:r>
        <w:r w:rsidR="00AC602F">
          <w:rPr>
            <w:noProof/>
          </w:rPr>
          <w:fldChar w:fldCharType="begin"/>
        </w:r>
        <w:r w:rsidR="00AC602F">
          <w:rPr>
            <w:noProof/>
          </w:rPr>
          <w:instrText xml:space="preserve"> PAGEREF _Toc452110453 \h </w:instrText>
        </w:r>
        <w:r w:rsidR="00AC602F">
          <w:rPr>
            <w:noProof/>
          </w:rPr>
        </w:r>
        <w:r w:rsidR="00AC602F">
          <w:rPr>
            <w:noProof/>
          </w:rPr>
          <w:fldChar w:fldCharType="separate"/>
        </w:r>
        <w:r w:rsidR="00AC602F">
          <w:rPr>
            <w:noProof/>
          </w:rPr>
          <w:t>14</w:t>
        </w:r>
        <w:r w:rsidR="00AC602F">
          <w:rPr>
            <w:noProof/>
          </w:rPr>
          <w:fldChar w:fldCharType="end"/>
        </w:r>
      </w:hyperlink>
    </w:p>
    <w:p w:rsidR="00AC602F" w:rsidRDefault="0050418C">
      <w:pPr>
        <w:pStyle w:val="TOC2"/>
        <w:rPr>
          <w:rFonts w:eastAsiaTheme="minorEastAsia"/>
          <w:smallCaps w:val="0"/>
          <w:sz w:val="22"/>
          <w:lang w:eastAsia="zh-TW"/>
        </w:rPr>
      </w:pPr>
      <w:hyperlink w:anchor="_Toc452110454" w:history="1">
        <w:r w:rsidR="00AC602F" w:rsidRPr="005F16D8">
          <w:rPr>
            <w:rStyle w:val="Hyperlink"/>
          </w:rPr>
          <w:t>Advanced Threat Analytics</w:t>
        </w:r>
        <w:r w:rsidR="00AC602F">
          <w:tab/>
        </w:r>
        <w:r w:rsidR="00AC602F">
          <w:fldChar w:fldCharType="begin"/>
        </w:r>
        <w:r w:rsidR="00AC602F">
          <w:instrText xml:space="preserve"> PAGEREF _Toc452110454 \h </w:instrText>
        </w:r>
        <w:r w:rsidR="00AC602F">
          <w:fldChar w:fldCharType="separate"/>
        </w:r>
        <w:r w:rsidR="00AC602F">
          <w:t>14</w:t>
        </w:r>
        <w:r w:rsidR="00AC602F">
          <w:fldChar w:fldCharType="end"/>
        </w:r>
      </w:hyperlink>
    </w:p>
    <w:p w:rsidR="00AC602F" w:rsidRDefault="0050418C">
      <w:pPr>
        <w:pStyle w:val="TOC2"/>
        <w:rPr>
          <w:rFonts w:eastAsiaTheme="minorEastAsia"/>
          <w:smallCaps w:val="0"/>
          <w:sz w:val="22"/>
          <w:lang w:eastAsia="zh-TW"/>
        </w:rPr>
      </w:pPr>
      <w:hyperlink w:anchor="_Toc452110455" w:history="1">
        <w:r w:rsidR="00AC602F" w:rsidRPr="005F16D8">
          <w:rPr>
            <w:rStyle w:val="Hyperlink"/>
          </w:rPr>
          <w:t>BizTalk</w:t>
        </w:r>
        <w:r w:rsidR="00AC602F">
          <w:tab/>
        </w:r>
        <w:r w:rsidR="00AC602F">
          <w:fldChar w:fldCharType="begin"/>
        </w:r>
        <w:r w:rsidR="00AC602F">
          <w:instrText xml:space="preserve"> PAGEREF _Toc452110455 \h </w:instrText>
        </w:r>
        <w:r w:rsidR="00AC602F">
          <w:fldChar w:fldCharType="separate"/>
        </w:r>
        <w:r w:rsidR="00AC602F">
          <w:t>14</w:t>
        </w:r>
        <w:r w:rsidR="00AC602F">
          <w:fldChar w:fldCharType="end"/>
        </w:r>
      </w:hyperlink>
    </w:p>
    <w:p w:rsidR="00AC602F" w:rsidRDefault="0050418C">
      <w:pPr>
        <w:pStyle w:val="TOC2"/>
        <w:rPr>
          <w:rFonts w:eastAsiaTheme="minorEastAsia"/>
          <w:smallCaps w:val="0"/>
          <w:sz w:val="22"/>
          <w:lang w:eastAsia="zh-TW"/>
        </w:rPr>
      </w:pPr>
      <w:hyperlink w:anchor="_Toc452110456" w:history="1">
        <w:r w:rsidR="00AC602F" w:rsidRPr="005F16D8">
          <w:rPr>
            <w:rStyle w:val="Hyperlink"/>
          </w:rPr>
          <w:t>CAL Suites</w:t>
        </w:r>
        <w:r w:rsidR="00AC602F">
          <w:tab/>
        </w:r>
        <w:r w:rsidR="00AC602F">
          <w:fldChar w:fldCharType="begin"/>
        </w:r>
        <w:r w:rsidR="00AC602F">
          <w:instrText xml:space="preserve"> PAGEREF _Toc452110456 \h </w:instrText>
        </w:r>
        <w:r w:rsidR="00AC602F">
          <w:fldChar w:fldCharType="separate"/>
        </w:r>
        <w:r w:rsidR="00AC602F">
          <w:t>16</w:t>
        </w:r>
        <w:r w:rsidR="00AC602F">
          <w:fldChar w:fldCharType="end"/>
        </w:r>
      </w:hyperlink>
    </w:p>
    <w:p w:rsidR="00AC602F" w:rsidRDefault="0050418C">
      <w:pPr>
        <w:pStyle w:val="TOC2"/>
        <w:rPr>
          <w:rFonts w:eastAsiaTheme="minorEastAsia"/>
          <w:smallCaps w:val="0"/>
          <w:sz w:val="22"/>
          <w:lang w:eastAsia="zh-TW"/>
        </w:rPr>
      </w:pPr>
      <w:hyperlink w:anchor="_Toc452110457" w:history="1">
        <w:r w:rsidR="00AC602F" w:rsidRPr="005F16D8">
          <w:rPr>
            <w:rStyle w:val="Hyperlink"/>
          </w:rPr>
          <w:t>Core Infrastructure Server (CIS) Suite</w:t>
        </w:r>
        <w:r w:rsidR="00AC602F">
          <w:tab/>
        </w:r>
        <w:r w:rsidR="00AC602F">
          <w:fldChar w:fldCharType="begin"/>
        </w:r>
        <w:r w:rsidR="00AC602F">
          <w:instrText xml:space="preserve"> PAGEREF _Toc452110457 \h </w:instrText>
        </w:r>
        <w:r w:rsidR="00AC602F">
          <w:fldChar w:fldCharType="separate"/>
        </w:r>
        <w:r w:rsidR="00AC602F">
          <w:t>17</w:t>
        </w:r>
        <w:r w:rsidR="00AC602F">
          <w:fldChar w:fldCharType="end"/>
        </w:r>
      </w:hyperlink>
    </w:p>
    <w:p w:rsidR="00AC602F" w:rsidRDefault="0050418C">
      <w:pPr>
        <w:pStyle w:val="TOC2"/>
        <w:rPr>
          <w:rFonts w:eastAsiaTheme="minorEastAsia"/>
          <w:smallCaps w:val="0"/>
          <w:sz w:val="22"/>
          <w:lang w:eastAsia="zh-TW"/>
        </w:rPr>
      </w:pPr>
      <w:hyperlink w:anchor="_Toc452110458" w:history="1">
        <w:r w:rsidR="00AC602F" w:rsidRPr="005F16D8">
          <w:rPr>
            <w:rStyle w:val="Hyperlink"/>
          </w:rPr>
          <w:t>Forefront</w:t>
        </w:r>
        <w:r w:rsidR="00AC602F">
          <w:tab/>
        </w:r>
        <w:r w:rsidR="00AC602F">
          <w:fldChar w:fldCharType="begin"/>
        </w:r>
        <w:r w:rsidR="00AC602F">
          <w:instrText xml:space="preserve"> PAGEREF _Toc452110458 \h </w:instrText>
        </w:r>
        <w:r w:rsidR="00AC602F">
          <w:fldChar w:fldCharType="separate"/>
        </w:r>
        <w:r w:rsidR="00AC602F">
          <w:t>19</w:t>
        </w:r>
        <w:r w:rsidR="00AC602F">
          <w:fldChar w:fldCharType="end"/>
        </w:r>
      </w:hyperlink>
    </w:p>
    <w:p w:rsidR="00AC602F" w:rsidRDefault="0050418C">
      <w:pPr>
        <w:pStyle w:val="TOC2"/>
        <w:rPr>
          <w:rFonts w:eastAsiaTheme="minorEastAsia"/>
          <w:smallCaps w:val="0"/>
          <w:sz w:val="22"/>
          <w:lang w:eastAsia="zh-TW"/>
        </w:rPr>
      </w:pPr>
      <w:hyperlink w:anchor="_Toc452110459" w:history="1">
        <w:r w:rsidR="00AC602F" w:rsidRPr="005F16D8">
          <w:rPr>
            <w:rStyle w:val="Hyperlink"/>
          </w:rPr>
          <w:t>Microsoft Dynamics</w:t>
        </w:r>
        <w:r w:rsidR="00AC602F">
          <w:tab/>
        </w:r>
        <w:r w:rsidR="00AC602F">
          <w:fldChar w:fldCharType="begin"/>
        </w:r>
        <w:r w:rsidR="00AC602F">
          <w:instrText xml:space="preserve"> PAGEREF _Toc452110459 \h </w:instrText>
        </w:r>
        <w:r w:rsidR="00AC602F">
          <w:fldChar w:fldCharType="separate"/>
        </w:r>
        <w:r w:rsidR="00AC602F">
          <w:t>20</w:t>
        </w:r>
        <w:r w:rsidR="00AC602F">
          <w:fldChar w:fldCharType="end"/>
        </w:r>
      </w:hyperlink>
    </w:p>
    <w:p w:rsidR="00AC602F" w:rsidRDefault="0050418C">
      <w:pPr>
        <w:pStyle w:val="TOC3"/>
        <w:rPr>
          <w:rFonts w:eastAsiaTheme="minorEastAsia"/>
          <w:smallCaps w:val="0"/>
          <w:sz w:val="22"/>
          <w:lang w:eastAsia="zh-TW"/>
        </w:rPr>
      </w:pPr>
      <w:hyperlink w:anchor="_Toc452110460" w:history="1">
        <w:r w:rsidR="00AC602F" w:rsidRPr="005F16D8">
          <w:rPr>
            <w:rStyle w:val="Hyperlink"/>
          </w:rPr>
          <w:t>Microsoft Dynamics AX</w:t>
        </w:r>
        <w:r w:rsidR="00AC602F">
          <w:tab/>
        </w:r>
        <w:r w:rsidR="00AC602F">
          <w:fldChar w:fldCharType="begin"/>
        </w:r>
        <w:r w:rsidR="00AC602F">
          <w:instrText xml:space="preserve"> PAGEREF _Toc452110460 \h </w:instrText>
        </w:r>
        <w:r w:rsidR="00AC602F">
          <w:fldChar w:fldCharType="separate"/>
        </w:r>
        <w:r w:rsidR="00AC602F">
          <w:t>20</w:t>
        </w:r>
        <w:r w:rsidR="00AC602F">
          <w:fldChar w:fldCharType="end"/>
        </w:r>
      </w:hyperlink>
    </w:p>
    <w:p w:rsidR="00AC602F" w:rsidRDefault="0050418C">
      <w:pPr>
        <w:pStyle w:val="TOC3"/>
        <w:rPr>
          <w:rFonts w:eastAsiaTheme="minorEastAsia"/>
          <w:smallCaps w:val="0"/>
          <w:sz w:val="22"/>
          <w:lang w:eastAsia="zh-TW"/>
        </w:rPr>
      </w:pPr>
      <w:hyperlink w:anchor="_Toc452110461" w:history="1">
        <w:r w:rsidR="00AC602F" w:rsidRPr="005F16D8">
          <w:rPr>
            <w:rStyle w:val="Hyperlink"/>
          </w:rPr>
          <w:t>Microsoft Dynamics CRM</w:t>
        </w:r>
        <w:r w:rsidR="00AC602F">
          <w:tab/>
        </w:r>
        <w:r w:rsidR="00AC602F">
          <w:fldChar w:fldCharType="begin"/>
        </w:r>
        <w:r w:rsidR="00AC602F">
          <w:instrText xml:space="preserve"> PAGEREF _Toc452110461 \h </w:instrText>
        </w:r>
        <w:r w:rsidR="00AC602F">
          <w:fldChar w:fldCharType="separate"/>
        </w:r>
        <w:r w:rsidR="00AC602F">
          <w:t>21</w:t>
        </w:r>
        <w:r w:rsidR="00AC602F">
          <w:fldChar w:fldCharType="end"/>
        </w:r>
      </w:hyperlink>
    </w:p>
    <w:p w:rsidR="00AC602F" w:rsidRDefault="0050418C">
      <w:pPr>
        <w:pStyle w:val="TOC2"/>
        <w:rPr>
          <w:rFonts w:eastAsiaTheme="minorEastAsia"/>
          <w:smallCaps w:val="0"/>
          <w:sz w:val="22"/>
          <w:lang w:eastAsia="zh-TW"/>
        </w:rPr>
      </w:pPr>
      <w:hyperlink w:anchor="_Toc452110462" w:history="1">
        <w:r w:rsidR="00AC602F" w:rsidRPr="005F16D8">
          <w:rPr>
            <w:rStyle w:val="Hyperlink"/>
          </w:rPr>
          <w:t>Microsoft Identity Manager</w:t>
        </w:r>
        <w:r w:rsidR="00AC602F">
          <w:tab/>
        </w:r>
        <w:r w:rsidR="00AC602F">
          <w:fldChar w:fldCharType="begin"/>
        </w:r>
        <w:r w:rsidR="00AC602F">
          <w:instrText xml:space="preserve"> PAGEREF _Toc452110462 \h </w:instrText>
        </w:r>
        <w:r w:rsidR="00AC602F">
          <w:fldChar w:fldCharType="separate"/>
        </w:r>
        <w:r w:rsidR="00AC602F">
          <w:t>23</w:t>
        </w:r>
        <w:r w:rsidR="00AC602F">
          <w:fldChar w:fldCharType="end"/>
        </w:r>
      </w:hyperlink>
    </w:p>
    <w:p w:rsidR="00AC602F" w:rsidRDefault="0050418C">
      <w:pPr>
        <w:pStyle w:val="TOC2"/>
        <w:rPr>
          <w:rFonts w:eastAsiaTheme="minorEastAsia"/>
          <w:smallCaps w:val="0"/>
          <w:sz w:val="22"/>
          <w:lang w:eastAsia="zh-TW"/>
        </w:rPr>
      </w:pPr>
      <w:hyperlink w:anchor="_Toc452110463" w:history="1">
        <w:r w:rsidR="00AC602F" w:rsidRPr="005F16D8">
          <w:rPr>
            <w:rStyle w:val="Hyperlink"/>
          </w:rPr>
          <w:t>Aplicações do Office</w:t>
        </w:r>
        <w:r w:rsidR="00AC602F">
          <w:tab/>
        </w:r>
        <w:r w:rsidR="00AC602F">
          <w:fldChar w:fldCharType="begin"/>
        </w:r>
        <w:r w:rsidR="00AC602F">
          <w:instrText xml:space="preserve"> PAGEREF _Toc452110463 \h </w:instrText>
        </w:r>
        <w:r w:rsidR="00AC602F">
          <w:fldChar w:fldCharType="separate"/>
        </w:r>
        <w:r w:rsidR="00AC602F">
          <w:t>24</w:t>
        </w:r>
        <w:r w:rsidR="00AC602F">
          <w:fldChar w:fldCharType="end"/>
        </w:r>
      </w:hyperlink>
    </w:p>
    <w:p w:rsidR="00AC602F" w:rsidRDefault="0050418C">
      <w:pPr>
        <w:pStyle w:val="TOC3"/>
        <w:rPr>
          <w:rFonts w:eastAsiaTheme="minorEastAsia"/>
          <w:smallCaps w:val="0"/>
          <w:sz w:val="22"/>
          <w:lang w:eastAsia="zh-TW"/>
        </w:rPr>
      </w:pPr>
      <w:hyperlink w:anchor="_Toc452110464" w:history="1">
        <w:r w:rsidR="00AC602F" w:rsidRPr="005F16D8">
          <w:rPr>
            <w:rStyle w:val="Hyperlink"/>
          </w:rPr>
          <w:t>Aplicações de Estação de Trabalho do Office</w:t>
        </w:r>
        <w:r w:rsidR="00AC602F">
          <w:tab/>
        </w:r>
        <w:r w:rsidR="00AC602F">
          <w:fldChar w:fldCharType="begin"/>
        </w:r>
        <w:r w:rsidR="00AC602F">
          <w:instrText xml:space="preserve"> PAGEREF _Toc452110464 \h </w:instrText>
        </w:r>
        <w:r w:rsidR="00AC602F">
          <w:fldChar w:fldCharType="separate"/>
        </w:r>
        <w:r w:rsidR="00AC602F">
          <w:t>24</w:t>
        </w:r>
        <w:r w:rsidR="00AC602F">
          <w:fldChar w:fldCharType="end"/>
        </w:r>
      </w:hyperlink>
    </w:p>
    <w:p w:rsidR="00AC602F" w:rsidRDefault="0050418C">
      <w:pPr>
        <w:pStyle w:val="TOC3"/>
        <w:rPr>
          <w:rFonts w:eastAsiaTheme="minorEastAsia"/>
          <w:smallCaps w:val="0"/>
          <w:sz w:val="22"/>
          <w:lang w:eastAsia="zh-TW"/>
        </w:rPr>
      </w:pPr>
      <w:hyperlink w:anchor="_Toc452110465" w:history="1">
        <w:r w:rsidR="00AC602F" w:rsidRPr="005F16D8">
          <w:rPr>
            <w:rStyle w:val="Hyperlink"/>
          </w:rPr>
          <w:t>Office for Mac</w:t>
        </w:r>
        <w:r w:rsidR="00AC602F">
          <w:tab/>
        </w:r>
        <w:r w:rsidR="00AC602F">
          <w:fldChar w:fldCharType="begin"/>
        </w:r>
        <w:r w:rsidR="00AC602F">
          <w:instrText xml:space="preserve"> PAGEREF _Toc452110465 \h </w:instrText>
        </w:r>
        <w:r w:rsidR="00AC602F">
          <w:fldChar w:fldCharType="separate"/>
        </w:r>
        <w:r w:rsidR="00AC602F">
          <w:t>25</w:t>
        </w:r>
        <w:r w:rsidR="00AC602F">
          <w:fldChar w:fldCharType="end"/>
        </w:r>
      </w:hyperlink>
    </w:p>
    <w:p w:rsidR="00AC602F" w:rsidRDefault="0050418C">
      <w:pPr>
        <w:pStyle w:val="TOC2"/>
        <w:rPr>
          <w:rFonts w:eastAsiaTheme="minorEastAsia"/>
          <w:smallCaps w:val="0"/>
          <w:sz w:val="22"/>
          <w:lang w:eastAsia="zh-TW"/>
        </w:rPr>
      </w:pPr>
      <w:hyperlink w:anchor="_Toc452110466" w:history="1">
        <w:r w:rsidR="00AC602F" w:rsidRPr="005F16D8">
          <w:rPr>
            <w:rStyle w:val="Hyperlink"/>
          </w:rPr>
          <w:t>Office Servers</w:t>
        </w:r>
        <w:r w:rsidR="00AC602F">
          <w:tab/>
        </w:r>
        <w:r w:rsidR="00AC602F">
          <w:fldChar w:fldCharType="begin"/>
        </w:r>
        <w:r w:rsidR="00AC602F">
          <w:instrText xml:space="preserve"> PAGEREF _Toc452110466 \h </w:instrText>
        </w:r>
        <w:r w:rsidR="00AC602F">
          <w:fldChar w:fldCharType="separate"/>
        </w:r>
        <w:r w:rsidR="00AC602F">
          <w:t>26</w:t>
        </w:r>
        <w:r w:rsidR="00AC602F">
          <w:fldChar w:fldCharType="end"/>
        </w:r>
      </w:hyperlink>
    </w:p>
    <w:p w:rsidR="00AC602F" w:rsidRDefault="0050418C">
      <w:pPr>
        <w:pStyle w:val="TOC3"/>
        <w:rPr>
          <w:rFonts w:eastAsiaTheme="minorEastAsia"/>
          <w:smallCaps w:val="0"/>
          <w:sz w:val="22"/>
          <w:lang w:eastAsia="zh-TW"/>
        </w:rPr>
      </w:pPr>
      <w:hyperlink w:anchor="_Toc452110467" w:history="1">
        <w:r w:rsidR="00AC602F" w:rsidRPr="005F16D8">
          <w:rPr>
            <w:rStyle w:val="Hyperlink"/>
          </w:rPr>
          <w:t>Exchange Server</w:t>
        </w:r>
        <w:r w:rsidR="00AC602F">
          <w:tab/>
        </w:r>
        <w:r w:rsidR="00AC602F">
          <w:fldChar w:fldCharType="begin"/>
        </w:r>
        <w:r w:rsidR="00AC602F">
          <w:instrText xml:space="preserve"> PAGEREF _Toc452110467 \h </w:instrText>
        </w:r>
        <w:r w:rsidR="00AC602F">
          <w:fldChar w:fldCharType="separate"/>
        </w:r>
        <w:r w:rsidR="00AC602F">
          <w:t>26</w:t>
        </w:r>
        <w:r w:rsidR="00AC602F">
          <w:fldChar w:fldCharType="end"/>
        </w:r>
      </w:hyperlink>
    </w:p>
    <w:p w:rsidR="00AC602F" w:rsidRDefault="0050418C">
      <w:pPr>
        <w:pStyle w:val="TOC3"/>
        <w:rPr>
          <w:rFonts w:eastAsiaTheme="minorEastAsia"/>
          <w:smallCaps w:val="0"/>
          <w:sz w:val="22"/>
          <w:lang w:eastAsia="zh-TW"/>
        </w:rPr>
      </w:pPr>
      <w:hyperlink w:anchor="_Toc452110468" w:history="1">
        <w:r w:rsidR="00AC602F" w:rsidRPr="005F16D8">
          <w:rPr>
            <w:rStyle w:val="Hyperlink"/>
          </w:rPr>
          <w:t>Project Server</w:t>
        </w:r>
        <w:r w:rsidR="00AC602F">
          <w:tab/>
        </w:r>
        <w:r w:rsidR="00AC602F">
          <w:fldChar w:fldCharType="begin"/>
        </w:r>
        <w:r w:rsidR="00AC602F">
          <w:instrText xml:space="preserve"> PAGEREF _Toc452110468 \h </w:instrText>
        </w:r>
        <w:r w:rsidR="00AC602F">
          <w:fldChar w:fldCharType="separate"/>
        </w:r>
        <w:r w:rsidR="00AC602F">
          <w:t>27</w:t>
        </w:r>
        <w:r w:rsidR="00AC602F">
          <w:fldChar w:fldCharType="end"/>
        </w:r>
      </w:hyperlink>
    </w:p>
    <w:p w:rsidR="00AC602F" w:rsidRDefault="0050418C">
      <w:pPr>
        <w:pStyle w:val="TOC3"/>
        <w:rPr>
          <w:rFonts w:eastAsiaTheme="minorEastAsia"/>
          <w:smallCaps w:val="0"/>
          <w:sz w:val="22"/>
          <w:lang w:eastAsia="zh-TW"/>
        </w:rPr>
      </w:pPr>
      <w:hyperlink w:anchor="_Toc452110469" w:history="1">
        <w:r w:rsidR="00AC602F" w:rsidRPr="005F16D8">
          <w:rPr>
            <w:rStyle w:val="Hyperlink"/>
          </w:rPr>
          <w:t>SharePoint Server</w:t>
        </w:r>
        <w:r w:rsidR="00AC602F">
          <w:tab/>
        </w:r>
        <w:r w:rsidR="00AC602F">
          <w:fldChar w:fldCharType="begin"/>
        </w:r>
        <w:r w:rsidR="00AC602F">
          <w:instrText xml:space="preserve"> PAGEREF _Toc452110469 \h </w:instrText>
        </w:r>
        <w:r w:rsidR="00AC602F">
          <w:fldChar w:fldCharType="separate"/>
        </w:r>
        <w:r w:rsidR="00AC602F">
          <w:t>28</w:t>
        </w:r>
        <w:r w:rsidR="00AC602F">
          <w:fldChar w:fldCharType="end"/>
        </w:r>
      </w:hyperlink>
    </w:p>
    <w:p w:rsidR="00AC602F" w:rsidRDefault="0050418C">
      <w:pPr>
        <w:pStyle w:val="TOC3"/>
        <w:rPr>
          <w:rFonts w:eastAsiaTheme="minorEastAsia"/>
          <w:smallCaps w:val="0"/>
          <w:sz w:val="22"/>
          <w:lang w:eastAsia="zh-TW"/>
        </w:rPr>
      </w:pPr>
      <w:hyperlink w:anchor="_Toc452110470" w:history="1">
        <w:r w:rsidR="00AC602F" w:rsidRPr="005F16D8">
          <w:rPr>
            <w:rStyle w:val="Hyperlink"/>
          </w:rPr>
          <w:t>Skype para Empresas Server</w:t>
        </w:r>
        <w:r w:rsidR="00AC602F">
          <w:tab/>
        </w:r>
        <w:r w:rsidR="00AC602F">
          <w:fldChar w:fldCharType="begin"/>
        </w:r>
        <w:r w:rsidR="00AC602F">
          <w:instrText xml:space="preserve"> PAGEREF _Toc452110470 \h </w:instrText>
        </w:r>
        <w:r w:rsidR="00AC602F">
          <w:fldChar w:fldCharType="separate"/>
        </w:r>
        <w:r w:rsidR="00AC602F">
          <w:t>29</w:t>
        </w:r>
        <w:r w:rsidR="00AC602F">
          <w:fldChar w:fldCharType="end"/>
        </w:r>
      </w:hyperlink>
    </w:p>
    <w:p w:rsidR="00AC602F" w:rsidRDefault="0050418C">
      <w:pPr>
        <w:pStyle w:val="TOC2"/>
        <w:rPr>
          <w:rFonts w:eastAsiaTheme="minorEastAsia"/>
          <w:smallCaps w:val="0"/>
          <w:sz w:val="22"/>
          <w:lang w:eastAsia="zh-TW"/>
        </w:rPr>
      </w:pPr>
      <w:hyperlink w:anchor="_Toc452110471" w:history="1">
        <w:r w:rsidR="00AC602F" w:rsidRPr="005F16D8">
          <w:rPr>
            <w:rStyle w:val="Hyperlink"/>
          </w:rPr>
          <w:t>R Server</w:t>
        </w:r>
        <w:r w:rsidR="00AC602F">
          <w:tab/>
        </w:r>
        <w:r w:rsidR="00AC602F">
          <w:fldChar w:fldCharType="begin"/>
        </w:r>
        <w:r w:rsidR="00AC602F">
          <w:instrText xml:space="preserve"> PAGEREF _Toc452110471 \h </w:instrText>
        </w:r>
        <w:r w:rsidR="00AC602F">
          <w:fldChar w:fldCharType="separate"/>
        </w:r>
        <w:r w:rsidR="00AC602F">
          <w:t>30</w:t>
        </w:r>
        <w:r w:rsidR="00AC602F">
          <w:fldChar w:fldCharType="end"/>
        </w:r>
      </w:hyperlink>
    </w:p>
    <w:p w:rsidR="00AC602F" w:rsidRDefault="0050418C">
      <w:pPr>
        <w:pStyle w:val="TOC2"/>
        <w:rPr>
          <w:rFonts w:eastAsiaTheme="minorEastAsia"/>
          <w:smallCaps w:val="0"/>
          <w:sz w:val="22"/>
          <w:lang w:eastAsia="zh-TW"/>
        </w:rPr>
      </w:pPr>
      <w:hyperlink w:anchor="_Toc452110472" w:history="1">
        <w:r w:rsidR="00AC602F" w:rsidRPr="005F16D8">
          <w:rPr>
            <w:rStyle w:val="Hyperlink"/>
          </w:rPr>
          <w:t>SQL Server</w:t>
        </w:r>
        <w:r w:rsidR="00AC602F">
          <w:tab/>
        </w:r>
        <w:r w:rsidR="00AC602F">
          <w:fldChar w:fldCharType="begin"/>
        </w:r>
        <w:r w:rsidR="00AC602F">
          <w:instrText xml:space="preserve"> PAGEREF _Toc452110472 \h </w:instrText>
        </w:r>
        <w:r w:rsidR="00AC602F">
          <w:fldChar w:fldCharType="separate"/>
        </w:r>
        <w:r w:rsidR="00AC602F">
          <w:t>31</w:t>
        </w:r>
        <w:r w:rsidR="00AC602F">
          <w:fldChar w:fldCharType="end"/>
        </w:r>
      </w:hyperlink>
    </w:p>
    <w:p w:rsidR="00AC602F" w:rsidRDefault="0050418C">
      <w:pPr>
        <w:pStyle w:val="TOC2"/>
        <w:rPr>
          <w:rFonts w:eastAsiaTheme="minorEastAsia"/>
          <w:smallCaps w:val="0"/>
          <w:sz w:val="22"/>
          <w:lang w:eastAsia="zh-TW"/>
        </w:rPr>
      </w:pPr>
      <w:hyperlink w:anchor="_Toc452110473" w:history="1">
        <w:r w:rsidR="00AC602F" w:rsidRPr="005F16D8">
          <w:rPr>
            <w:rStyle w:val="Hyperlink"/>
          </w:rPr>
          <w:t>System Center</w:t>
        </w:r>
        <w:r w:rsidR="00AC602F">
          <w:tab/>
        </w:r>
        <w:r w:rsidR="00AC602F">
          <w:fldChar w:fldCharType="begin"/>
        </w:r>
        <w:r w:rsidR="00AC602F">
          <w:instrText xml:space="preserve"> PAGEREF _Toc452110473 \h </w:instrText>
        </w:r>
        <w:r w:rsidR="00AC602F">
          <w:fldChar w:fldCharType="separate"/>
        </w:r>
        <w:r w:rsidR="00AC602F">
          <w:t>33</w:t>
        </w:r>
        <w:r w:rsidR="00AC602F">
          <w:fldChar w:fldCharType="end"/>
        </w:r>
      </w:hyperlink>
    </w:p>
    <w:p w:rsidR="00AC602F" w:rsidRDefault="0050418C">
      <w:pPr>
        <w:pStyle w:val="TOC3"/>
        <w:rPr>
          <w:rFonts w:eastAsiaTheme="minorEastAsia"/>
          <w:smallCaps w:val="0"/>
          <w:sz w:val="22"/>
          <w:lang w:eastAsia="zh-TW"/>
        </w:rPr>
      </w:pPr>
      <w:hyperlink w:anchor="_Toc452110474" w:history="1">
        <w:r w:rsidR="00AC602F" w:rsidRPr="005F16D8">
          <w:rPr>
            <w:rStyle w:val="Hyperlink"/>
          </w:rPr>
          <w:t>System Center Server</w:t>
        </w:r>
        <w:r w:rsidR="00AC602F">
          <w:tab/>
        </w:r>
        <w:r w:rsidR="00AC602F">
          <w:fldChar w:fldCharType="begin"/>
        </w:r>
        <w:r w:rsidR="00AC602F">
          <w:instrText xml:space="preserve"> PAGEREF _Toc452110474 \h </w:instrText>
        </w:r>
        <w:r w:rsidR="00AC602F">
          <w:fldChar w:fldCharType="separate"/>
        </w:r>
        <w:r w:rsidR="00AC602F">
          <w:t>33</w:t>
        </w:r>
        <w:r w:rsidR="00AC602F">
          <w:fldChar w:fldCharType="end"/>
        </w:r>
      </w:hyperlink>
    </w:p>
    <w:p w:rsidR="00AC602F" w:rsidRDefault="0050418C">
      <w:pPr>
        <w:pStyle w:val="TOC3"/>
        <w:rPr>
          <w:rFonts w:eastAsiaTheme="minorEastAsia"/>
          <w:smallCaps w:val="0"/>
          <w:sz w:val="22"/>
          <w:lang w:eastAsia="zh-TW"/>
        </w:rPr>
      </w:pPr>
      <w:hyperlink w:anchor="_Toc452110475" w:history="1">
        <w:r w:rsidR="00AC602F" w:rsidRPr="005F16D8">
          <w:rPr>
            <w:rStyle w:val="Hyperlink"/>
          </w:rPr>
          <w:t>System Center Client Management Suite</w:t>
        </w:r>
        <w:r w:rsidR="00AC602F">
          <w:tab/>
        </w:r>
        <w:r w:rsidR="00AC602F">
          <w:fldChar w:fldCharType="begin"/>
        </w:r>
        <w:r w:rsidR="00AC602F">
          <w:instrText xml:space="preserve"> PAGEREF _Toc452110475 \h </w:instrText>
        </w:r>
        <w:r w:rsidR="00AC602F">
          <w:fldChar w:fldCharType="separate"/>
        </w:r>
        <w:r w:rsidR="00AC602F">
          <w:t>34</w:t>
        </w:r>
        <w:r w:rsidR="00AC602F">
          <w:fldChar w:fldCharType="end"/>
        </w:r>
      </w:hyperlink>
    </w:p>
    <w:p w:rsidR="00AC602F" w:rsidRDefault="0050418C">
      <w:pPr>
        <w:pStyle w:val="TOC3"/>
        <w:rPr>
          <w:rFonts w:eastAsiaTheme="minorEastAsia"/>
          <w:smallCaps w:val="0"/>
          <w:sz w:val="22"/>
          <w:lang w:eastAsia="zh-TW"/>
        </w:rPr>
      </w:pPr>
      <w:hyperlink w:anchor="_Toc452110476" w:history="1">
        <w:r w:rsidR="00AC602F" w:rsidRPr="005F16D8">
          <w:rPr>
            <w:rStyle w:val="Hyperlink"/>
          </w:rPr>
          <w:t>System Center Configuration Manager</w:t>
        </w:r>
        <w:r w:rsidR="00AC602F">
          <w:tab/>
        </w:r>
        <w:r w:rsidR="00AC602F">
          <w:fldChar w:fldCharType="begin"/>
        </w:r>
        <w:r w:rsidR="00AC602F">
          <w:instrText xml:space="preserve"> PAGEREF _Toc452110476 \h </w:instrText>
        </w:r>
        <w:r w:rsidR="00AC602F">
          <w:fldChar w:fldCharType="separate"/>
        </w:r>
        <w:r w:rsidR="00AC602F">
          <w:t>34</w:t>
        </w:r>
        <w:r w:rsidR="00AC602F">
          <w:fldChar w:fldCharType="end"/>
        </w:r>
      </w:hyperlink>
    </w:p>
    <w:p w:rsidR="00AC602F" w:rsidRDefault="0050418C">
      <w:pPr>
        <w:pStyle w:val="TOC3"/>
        <w:rPr>
          <w:rFonts w:eastAsiaTheme="minorEastAsia"/>
          <w:smallCaps w:val="0"/>
          <w:sz w:val="22"/>
          <w:lang w:eastAsia="zh-TW"/>
        </w:rPr>
      </w:pPr>
      <w:hyperlink w:anchor="_Toc452110477" w:history="1">
        <w:r w:rsidR="00AC602F" w:rsidRPr="005F16D8">
          <w:rPr>
            <w:rStyle w:val="Hyperlink"/>
          </w:rPr>
          <w:t>System Center Data Protection Manager</w:t>
        </w:r>
        <w:r w:rsidR="00AC602F">
          <w:tab/>
        </w:r>
        <w:r w:rsidR="00AC602F">
          <w:fldChar w:fldCharType="begin"/>
        </w:r>
        <w:r w:rsidR="00AC602F">
          <w:instrText xml:space="preserve"> PAGEREF _Toc452110477 \h </w:instrText>
        </w:r>
        <w:r w:rsidR="00AC602F">
          <w:fldChar w:fldCharType="separate"/>
        </w:r>
        <w:r w:rsidR="00AC602F">
          <w:t>35</w:t>
        </w:r>
        <w:r w:rsidR="00AC602F">
          <w:fldChar w:fldCharType="end"/>
        </w:r>
      </w:hyperlink>
    </w:p>
    <w:p w:rsidR="00AC602F" w:rsidRDefault="0050418C">
      <w:pPr>
        <w:pStyle w:val="TOC3"/>
        <w:rPr>
          <w:rFonts w:eastAsiaTheme="minorEastAsia"/>
          <w:smallCaps w:val="0"/>
          <w:sz w:val="22"/>
          <w:lang w:eastAsia="zh-TW"/>
        </w:rPr>
      </w:pPr>
      <w:hyperlink w:anchor="_Toc452110478" w:history="1">
        <w:r w:rsidR="00AC602F" w:rsidRPr="005F16D8">
          <w:rPr>
            <w:rStyle w:val="Hyperlink"/>
          </w:rPr>
          <w:t>System Center Endpoint Protection</w:t>
        </w:r>
        <w:r w:rsidR="00AC602F">
          <w:tab/>
        </w:r>
        <w:r w:rsidR="00AC602F">
          <w:fldChar w:fldCharType="begin"/>
        </w:r>
        <w:r w:rsidR="00AC602F">
          <w:instrText xml:space="preserve"> PAGEREF _Toc452110478 \h </w:instrText>
        </w:r>
        <w:r w:rsidR="00AC602F">
          <w:fldChar w:fldCharType="separate"/>
        </w:r>
        <w:r w:rsidR="00AC602F">
          <w:t>36</w:t>
        </w:r>
        <w:r w:rsidR="00AC602F">
          <w:fldChar w:fldCharType="end"/>
        </w:r>
      </w:hyperlink>
    </w:p>
    <w:p w:rsidR="00AC602F" w:rsidRDefault="0050418C">
      <w:pPr>
        <w:pStyle w:val="TOC3"/>
        <w:rPr>
          <w:rFonts w:eastAsiaTheme="minorEastAsia"/>
          <w:smallCaps w:val="0"/>
          <w:sz w:val="22"/>
          <w:lang w:eastAsia="zh-TW"/>
        </w:rPr>
      </w:pPr>
      <w:hyperlink w:anchor="_Toc452110479" w:history="1">
        <w:r w:rsidR="00AC602F" w:rsidRPr="005F16D8">
          <w:rPr>
            <w:rStyle w:val="Hyperlink"/>
          </w:rPr>
          <w:t>System Center Operation Manager</w:t>
        </w:r>
        <w:r w:rsidR="00AC602F">
          <w:tab/>
        </w:r>
        <w:r w:rsidR="00AC602F">
          <w:fldChar w:fldCharType="begin"/>
        </w:r>
        <w:r w:rsidR="00AC602F">
          <w:instrText xml:space="preserve"> PAGEREF _Toc452110479 \h </w:instrText>
        </w:r>
        <w:r w:rsidR="00AC602F">
          <w:fldChar w:fldCharType="separate"/>
        </w:r>
        <w:r w:rsidR="00AC602F">
          <w:t>36</w:t>
        </w:r>
        <w:r w:rsidR="00AC602F">
          <w:fldChar w:fldCharType="end"/>
        </w:r>
      </w:hyperlink>
    </w:p>
    <w:p w:rsidR="00AC602F" w:rsidRDefault="0050418C">
      <w:pPr>
        <w:pStyle w:val="TOC3"/>
        <w:rPr>
          <w:rFonts w:eastAsiaTheme="minorEastAsia"/>
          <w:smallCaps w:val="0"/>
          <w:sz w:val="22"/>
          <w:lang w:eastAsia="zh-TW"/>
        </w:rPr>
      </w:pPr>
      <w:hyperlink w:anchor="_Toc452110480" w:history="1">
        <w:r w:rsidR="00AC602F" w:rsidRPr="005F16D8">
          <w:rPr>
            <w:rStyle w:val="Hyperlink"/>
          </w:rPr>
          <w:t>System Center Server Management Suite</w:t>
        </w:r>
        <w:r w:rsidR="00AC602F">
          <w:tab/>
        </w:r>
        <w:r w:rsidR="00AC602F">
          <w:fldChar w:fldCharType="begin"/>
        </w:r>
        <w:r w:rsidR="00AC602F">
          <w:instrText xml:space="preserve"> PAGEREF _Toc452110480 \h </w:instrText>
        </w:r>
        <w:r w:rsidR="00AC602F">
          <w:fldChar w:fldCharType="separate"/>
        </w:r>
        <w:r w:rsidR="00AC602F">
          <w:t>37</w:t>
        </w:r>
        <w:r w:rsidR="00AC602F">
          <w:fldChar w:fldCharType="end"/>
        </w:r>
      </w:hyperlink>
    </w:p>
    <w:p w:rsidR="00AC602F" w:rsidRDefault="0050418C">
      <w:pPr>
        <w:pStyle w:val="TOC3"/>
        <w:rPr>
          <w:rFonts w:eastAsiaTheme="minorEastAsia"/>
          <w:smallCaps w:val="0"/>
          <w:sz w:val="22"/>
          <w:lang w:eastAsia="zh-TW"/>
        </w:rPr>
      </w:pPr>
      <w:hyperlink w:anchor="_Toc452110481" w:history="1">
        <w:r w:rsidR="00AC602F" w:rsidRPr="005F16D8">
          <w:rPr>
            <w:rStyle w:val="Hyperlink"/>
          </w:rPr>
          <w:t>System Center Service Manager</w:t>
        </w:r>
        <w:r w:rsidR="00AC602F">
          <w:tab/>
        </w:r>
        <w:r w:rsidR="00AC602F">
          <w:fldChar w:fldCharType="begin"/>
        </w:r>
        <w:r w:rsidR="00AC602F">
          <w:instrText xml:space="preserve"> PAGEREF _Toc452110481 \h </w:instrText>
        </w:r>
        <w:r w:rsidR="00AC602F">
          <w:fldChar w:fldCharType="separate"/>
        </w:r>
        <w:r w:rsidR="00AC602F">
          <w:t>37</w:t>
        </w:r>
        <w:r w:rsidR="00AC602F">
          <w:fldChar w:fldCharType="end"/>
        </w:r>
      </w:hyperlink>
    </w:p>
    <w:p w:rsidR="00AC602F" w:rsidRDefault="0050418C">
      <w:pPr>
        <w:pStyle w:val="TOC2"/>
        <w:rPr>
          <w:rFonts w:eastAsiaTheme="minorEastAsia"/>
          <w:smallCaps w:val="0"/>
          <w:sz w:val="22"/>
          <w:lang w:eastAsia="zh-TW"/>
        </w:rPr>
      </w:pPr>
      <w:hyperlink w:anchor="_Toc452110482" w:history="1">
        <w:r w:rsidR="00AC602F" w:rsidRPr="005F16D8">
          <w:rPr>
            <w:rStyle w:val="Hyperlink"/>
          </w:rPr>
          <w:t>Virtual Desktop Infrastructure (VDI) Suite</w:t>
        </w:r>
        <w:r w:rsidR="00AC602F">
          <w:tab/>
        </w:r>
        <w:r w:rsidR="00AC602F">
          <w:fldChar w:fldCharType="begin"/>
        </w:r>
        <w:r w:rsidR="00AC602F">
          <w:instrText xml:space="preserve"> PAGEREF _Toc452110482 \h </w:instrText>
        </w:r>
        <w:r w:rsidR="00AC602F">
          <w:fldChar w:fldCharType="separate"/>
        </w:r>
        <w:r w:rsidR="00AC602F">
          <w:t>37</w:t>
        </w:r>
        <w:r w:rsidR="00AC602F">
          <w:fldChar w:fldCharType="end"/>
        </w:r>
      </w:hyperlink>
    </w:p>
    <w:p w:rsidR="00AC602F" w:rsidRDefault="0050418C">
      <w:pPr>
        <w:pStyle w:val="TOC2"/>
        <w:rPr>
          <w:rFonts w:eastAsiaTheme="minorEastAsia"/>
          <w:smallCaps w:val="0"/>
          <w:sz w:val="22"/>
          <w:lang w:eastAsia="zh-TW"/>
        </w:rPr>
      </w:pPr>
      <w:hyperlink w:anchor="_Toc452110483" w:history="1">
        <w:r w:rsidR="00AC602F" w:rsidRPr="005F16D8">
          <w:rPr>
            <w:rStyle w:val="Hyperlink"/>
          </w:rPr>
          <w:t>Visual Studio</w:t>
        </w:r>
        <w:r w:rsidR="00AC602F">
          <w:tab/>
        </w:r>
        <w:r w:rsidR="00AC602F">
          <w:fldChar w:fldCharType="begin"/>
        </w:r>
        <w:r w:rsidR="00AC602F">
          <w:instrText xml:space="preserve"> PAGEREF _Toc452110483 \h </w:instrText>
        </w:r>
        <w:r w:rsidR="00AC602F">
          <w:fldChar w:fldCharType="separate"/>
        </w:r>
        <w:r w:rsidR="00AC602F">
          <w:t>37</w:t>
        </w:r>
        <w:r w:rsidR="00AC602F">
          <w:fldChar w:fldCharType="end"/>
        </w:r>
      </w:hyperlink>
    </w:p>
    <w:p w:rsidR="00AC602F" w:rsidRDefault="0050418C">
      <w:pPr>
        <w:pStyle w:val="TOC3"/>
        <w:rPr>
          <w:rFonts w:eastAsiaTheme="minorEastAsia"/>
          <w:smallCaps w:val="0"/>
          <w:sz w:val="22"/>
          <w:lang w:eastAsia="zh-TW"/>
        </w:rPr>
      </w:pPr>
      <w:hyperlink w:anchor="_Toc452110484" w:history="1">
        <w:r w:rsidR="00AC602F" w:rsidRPr="005F16D8">
          <w:rPr>
            <w:rStyle w:val="Hyperlink"/>
          </w:rPr>
          <w:t>Visual Studio</w:t>
        </w:r>
        <w:r w:rsidR="00AC602F">
          <w:tab/>
        </w:r>
        <w:r w:rsidR="00AC602F">
          <w:fldChar w:fldCharType="begin"/>
        </w:r>
        <w:r w:rsidR="00AC602F">
          <w:instrText xml:space="preserve"> PAGEREF _Toc452110484 \h </w:instrText>
        </w:r>
        <w:r w:rsidR="00AC602F">
          <w:fldChar w:fldCharType="separate"/>
        </w:r>
        <w:r w:rsidR="00AC602F">
          <w:t>37</w:t>
        </w:r>
        <w:r w:rsidR="00AC602F">
          <w:fldChar w:fldCharType="end"/>
        </w:r>
      </w:hyperlink>
    </w:p>
    <w:p w:rsidR="00AC602F" w:rsidRDefault="0050418C">
      <w:pPr>
        <w:pStyle w:val="TOC3"/>
        <w:rPr>
          <w:rFonts w:eastAsiaTheme="minorEastAsia"/>
          <w:smallCaps w:val="0"/>
          <w:sz w:val="22"/>
          <w:lang w:eastAsia="zh-TW"/>
        </w:rPr>
      </w:pPr>
      <w:hyperlink w:anchor="_Toc452110485" w:history="1">
        <w:r w:rsidR="00AC602F" w:rsidRPr="005F16D8">
          <w:rPr>
            <w:rStyle w:val="Hyperlink"/>
          </w:rPr>
          <w:t>Visual Studio Team Foundation Server</w:t>
        </w:r>
        <w:r w:rsidR="00AC602F">
          <w:tab/>
        </w:r>
        <w:r w:rsidR="00AC602F">
          <w:fldChar w:fldCharType="begin"/>
        </w:r>
        <w:r w:rsidR="00AC602F">
          <w:instrText xml:space="preserve"> PAGEREF _Toc452110485 \h </w:instrText>
        </w:r>
        <w:r w:rsidR="00AC602F">
          <w:fldChar w:fldCharType="separate"/>
        </w:r>
        <w:r w:rsidR="00AC602F">
          <w:t>39</w:t>
        </w:r>
        <w:r w:rsidR="00AC602F">
          <w:fldChar w:fldCharType="end"/>
        </w:r>
      </w:hyperlink>
    </w:p>
    <w:p w:rsidR="00AC602F" w:rsidRDefault="0050418C">
      <w:pPr>
        <w:pStyle w:val="TOC2"/>
        <w:rPr>
          <w:rFonts w:eastAsiaTheme="minorEastAsia"/>
          <w:smallCaps w:val="0"/>
          <w:sz w:val="22"/>
          <w:lang w:eastAsia="zh-TW"/>
        </w:rPr>
      </w:pPr>
      <w:hyperlink w:anchor="_Toc452110486" w:history="1">
        <w:r w:rsidR="00AC602F" w:rsidRPr="005F16D8">
          <w:rPr>
            <w:rStyle w:val="Hyperlink"/>
          </w:rPr>
          <w:t>Windows</w:t>
        </w:r>
        <w:r w:rsidR="00AC602F">
          <w:tab/>
        </w:r>
        <w:r w:rsidR="00AC602F">
          <w:fldChar w:fldCharType="begin"/>
        </w:r>
        <w:r w:rsidR="00AC602F">
          <w:instrText xml:space="preserve"> PAGEREF _Toc452110486 \h </w:instrText>
        </w:r>
        <w:r w:rsidR="00AC602F">
          <w:fldChar w:fldCharType="separate"/>
        </w:r>
        <w:r w:rsidR="00AC602F">
          <w:t>40</w:t>
        </w:r>
        <w:r w:rsidR="00AC602F">
          <w:fldChar w:fldCharType="end"/>
        </w:r>
      </w:hyperlink>
    </w:p>
    <w:p w:rsidR="00AC602F" w:rsidRDefault="0050418C">
      <w:pPr>
        <w:pStyle w:val="TOC3"/>
        <w:rPr>
          <w:rFonts w:eastAsiaTheme="minorEastAsia"/>
          <w:smallCaps w:val="0"/>
          <w:sz w:val="22"/>
          <w:lang w:eastAsia="zh-TW"/>
        </w:rPr>
      </w:pPr>
      <w:hyperlink w:anchor="_Toc452110487" w:history="1">
        <w:r w:rsidR="00AC602F" w:rsidRPr="005F16D8">
          <w:rPr>
            <w:rStyle w:val="Hyperlink"/>
          </w:rPr>
          <w:t>Sistema Operativo de Estação de Trabalho Windows</w:t>
        </w:r>
        <w:r w:rsidR="00AC602F">
          <w:tab/>
        </w:r>
        <w:r w:rsidR="00AC602F">
          <w:fldChar w:fldCharType="begin"/>
        </w:r>
        <w:r w:rsidR="00AC602F">
          <w:instrText xml:space="preserve"> PAGEREF _Toc452110487 \h </w:instrText>
        </w:r>
        <w:r w:rsidR="00AC602F">
          <w:fldChar w:fldCharType="separate"/>
        </w:r>
        <w:r w:rsidR="00AC602F">
          <w:t>40</w:t>
        </w:r>
        <w:r w:rsidR="00AC602F">
          <w:fldChar w:fldCharType="end"/>
        </w:r>
      </w:hyperlink>
    </w:p>
    <w:p w:rsidR="00AC602F" w:rsidRDefault="0050418C">
      <w:pPr>
        <w:pStyle w:val="TOC2"/>
        <w:rPr>
          <w:rFonts w:eastAsiaTheme="minorEastAsia"/>
          <w:smallCaps w:val="0"/>
          <w:sz w:val="22"/>
          <w:lang w:eastAsia="zh-TW"/>
        </w:rPr>
      </w:pPr>
      <w:hyperlink w:anchor="_Toc452110488" w:history="1">
        <w:r w:rsidR="00AC602F" w:rsidRPr="005F16D8">
          <w:rPr>
            <w:rStyle w:val="Hyperlink"/>
          </w:rPr>
          <w:t>Windows Server</w:t>
        </w:r>
        <w:r w:rsidR="00AC602F">
          <w:tab/>
        </w:r>
        <w:r w:rsidR="00AC602F">
          <w:fldChar w:fldCharType="begin"/>
        </w:r>
        <w:r w:rsidR="00AC602F">
          <w:instrText xml:space="preserve"> PAGEREF _Toc452110488 \h </w:instrText>
        </w:r>
        <w:r w:rsidR="00AC602F">
          <w:fldChar w:fldCharType="separate"/>
        </w:r>
        <w:r w:rsidR="00AC602F">
          <w:t>46</w:t>
        </w:r>
        <w:r w:rsidR="00AC602F">
          <w:fldChar w:fldCharType="end"/>
        </w:r>
      </w:hyperlink>
    </w:p>
    <w:p w:rsidR="00AC602F" w:rsidRDefault="0050418C">
      <w:pPr>
        <w:pStyle w:val="TOC3"/>
        <w:rPr>
          <w:rFonts w:eastAsiaTheme="minorEastAsia"/>
          <w:smallCaps w:val="0"/>
          <w:sz w:val="22"/>
          <w:lang w:eastAsia="zh-TW"/>
        </w:rPr>
      </w:pPr>
      <w:hyperlink w:anchor="_Toc452110489" w:history="1">
        <w:r w:rsidR="00AC602F" w:rsidRPr="005F16D8">
          <w:rPr>
            <w:rStyle w:val="Hyperlink"/>
          </w:rPr>
          <w:t>Windows MultiPoint Server</w:t>
        </w:r>
        <w:r w:rsidR="00AC602F">
          <w:tab/>
        </w:r>
        <w:r w:rsidR="00AC602F">
          <w:fldChar w:fldCharType="begin"/>
        </w:r>
        <w:r w:rsidR="00AC602F">
          <w:instrText xml:space="preserve"> PAGEREF _Toc452110489 \h </w:instrText>
        </w:r>
        <w:r w:rsidR="00AC602F">
          <w:fldChar w:fldCharType="separate"/>
        </w:r>
        <w:r w:rsidR="00AC602F">
          <w:t>46</w:t>
        </w:r>
        <w:r w:rsidR="00AC602F">
          <w:fldChar w:fldCharType="end"/>
        </w:r>
      </w:hyperlink>
    </w:p>
    <w:p w:rsidR="00AC602F" w:rsidRDefault="0050418C">
      <w:pPr>
        <w:pStyle w:val="TOC3"/>
        <w:rPr>
          <w:rFonts w:eastAsiaTheme="minorEastAsia"/>
          <w:smallCaps w:val="0"/>
          <w:sz w:val="22"/>
          <w:lang w:eastAsia="zh-TW"/>
        </w:rPr>
      </w:pPr>
      <w:hyperlink w:anchor="_Toc452110490" w:history="1">
        <w:r w:rsidR="00AC602F" w:rsidRPr="005F16D8">
          <w:rPr>
            <w:rStyle w:val="Hyperlink"/>
          </w:rPr>
          <w:t>Windows Server</w:t>
        </w:r>
        <w:r w:rsidR="00AC602F">
          <w:tab/>
        </w:r>
        <w:r w:rsidR="00AC602F">
          <w:fldChar w:fldCharType="begin"/>
        </w:r>
        <w:r w:rsidR="00AC602F">
          <w:instrText xml:space="preserve"> PAGEREF _Toc452110490 \h </w:instrText>
        </w:r>
        <w:r w:rsidR="00AC602F">
          <w:fldChar w:fldCharType="separate"/>
        </w:r>
        <w:r w:rsidR="00AC602F">
          <w:t>47</w:t>
        </w:r>
        <w:r w:rsidR="00AC602F">
          <w:fldChar w:fldCharType="end"/>
        </w:r>
      </w:hyperlink>
    </w:p>
    <w:p w:rsidR="00AC602F" w:rsidRDefault="0050418C">
      <w:pPr>
        <w:pStyle w:val="TOC3"/>
        <w:rPr>
          <w:rFonts w:eastAsiaTheme="minorEastAsia"/>
          <w:smallCaps w:val="0"/>
          <w:sz w:val="22"/>
          <w:lang w:eastAsia="zh-TW"/>
        </w:rPr>
      </w:pPr>
      <w:hyperlink w:anchor="_Toc452110491" w:history="1">
        <w:r w:rsidR="00AC602F" w:rsidRPr="005F16D8">
          <w:rPr>
            <w:rStyle w:val="Hyperlink"/>
          </w:rPr>
          <w:t>Windows Small Business Server</w:t>
        </w:r>
        <w:r w:rsidR="00AC602F">
          <w:tab/>
        </w:r>
        <w:r w:rsidR="00AC602F">
          <w:fldChar w:fldCharType="begin"/>
        </w:r>
        <w:r w:rsidR="00AC602F">
          <w:instrText xml:space="preserve"> PAGEREF _Toc452110491 \h </w:instrText>
        </w:r>
        <w:r w:rsidR="00AC602F">
          <w:fldChar w:fldCharType="separate"/>
        </w:r>
        <w:r w:rsidR="00AC602F">
          <w:t>49</w:t>
        </w:r>
        <w:r w:rsidR="00AC602F">
          <w:fldChar w:fldCharType="end"/>
        </w:r>
      </w:hyperlink>
    </w:p>
    <w:p w:rsidR="00AC602F" w:rsidRDefault="0050418C">
      <w:pPr>
        <w:pStyle w:val="TOC1"/>
        <w:rPr>
          <w:rFonts w:eastAsiaTheme="minorEastAsia"/>
          <w:b w:val="0"/>
          <w:caps w:val="0"/>
          <w:noProof/>
          <w:sz w:val="22"/>
          <w:szCs w:val="22"/>
          <w:lang w:eastAsia="zh-TW"/>
        </w:rPr>
      </w:pPr>
      <w:hyperlink w:anchor="_Toc452110492" w:history="1">
        <w:r w:rsidR="00AC602F" w:rsidRPr="005F16D8">
          <w:rPr>
            <w:rStyle w:val="Hyperlink"/>
            <w:noProof/>
          </w:rPr>
          <w:t>Serviços Online</w:t>
        </w:r>
        <w:r w:rsidR="00AC602F">
          <w:rPr>
            <w:noProof/>
          </w:rPr>
          <w:tab/>
        </w:r>
        <w:r w:rsidR="00AC602F">
          <w:rPr>
            <w:noProof/>
          </w:rPr>
          <w:fldChar w:fldCharType="begin"/>
        </w:r>
        <w:r w:rsidR="00AC602F">
          <w:rPr>
            <w:noProof/>
          </w:rPr>
          <w:instrText xml:space="preserve"> PAGEREF _Toc452110492 \h </w:instrText>
        </w:r>
        <w:r w:rsidR="00AC602F">
          <w:rPr>
            <w:noProof/>
          </w:rPr>
        </w:r>
        <w:r w:rsidR="00AC602F">
          <w:rPr>
            <w:noProof/>
          </w:rPr>
          <w:fldChar w:fldCharType="separate"/>
        </w:r>
        <w:r w:rsidR="00AC602F">
          <w:rPr>
            <w:noProof/>
          </w:rPr>
          <w:t>51</w:t>
        </w:r>
        <w:r w:rsidR="00AC602F">
          <w:rPr>
            <w:noProof/>
          </w:rPr>
          <w:fldChar w:fldCharType="end"/>
        </w:r>
      </w:hyperlink>
    </w:p>
    <w:p w:rsidR="00AC602F" w:rsidRDefault="0050418C">
      <w:pPr>
        <w:pStyle w:val="TOC2"/>
        <w:rPr>
          <w:rFonts w:eastAsiaTheme="minorEastAsia"/>
          <w:smallCaps w:val="0"/>
          <w:sz w:val="22"/>
          <w:lang w:eastAsia="zh-TW"/>
        </w:rPr>
      </w:pPr>
      <w:hyperlink w:anchor="_Toc452110493" w:history="1">
        <w:r w:rsidR="00AC602F" w:rsidRPr="005F16D8">
          <w:rPr>
            <w:rStyle w:val="Hyperlink"/>
          </w:rPr>
          <w:t>Disponibilidade Regional dos Serviços Online</w:t>
        </w:r>
        <w:r w:rsidR="00AC602F">
          <w:tab/>
        </w:r>
        <w:r w:rsidR="00AC602F">
          <w:fldChar w:fldCharType="begin"/>
        </w:r>
        <w:r w:rsidR="00AC602F">
          <w:instrText xml:space="preserve"> PAGEREF _Toc452110493 \h </w:instrText>
        </w:r>
        <w:r w:rsidR="00AC602F">
          <w:fldChar w:fldCharType="separate"/>
        </w:r>
        <w:r w:rsidR="00AC602F">
          <w:t>51</w:t>
        </w:r>
        <w:r w:rsidR="00AC602F">
          <w:fldChar w:fldCharType="end"/>
        </w:r>
      </w:hyperlink>
    </w:p>
    <w:p w:rsidR="00AC602F" w:rsidRDefault="0050418C">
      <w:pPr>
        <w:pStyle w:val="TOC2"/>
        <w:rPr>
          <w:rFonts w:eastAsiaTheme="minorEastAsia"/>
          <w:smallCaps w:val="0"/>
          <w:sz w:val="22"/>
          <w:lang w:eastAsia="zh-TW"/>
        </w:rPr>
      </w:pPr>
      <w:hyperlink w:anchor="_Toc452110494" w:history="1">
        <w:r w:rsidR="00AC602F" w:rsidRPr="005F16D8">
          <w:rPr>
            <w:rStyle w:val="Hyperlink"/>
          </w:rPr>
          <w:t>Regras de Aquisição de Serviços Online</w:t>
        </w:r>
        <w:r w:rsidR="00AC602F">
          <w:tab/>
        </w:r>
        <w:r w:rsidR="00AC602F">
          <w:fldChar w:fldCharType="begin"/>
        </w:r>
        <w:r w:rsidR="00AC602F">
          <w:instrText xml:space="preserve"> PAGEREF _Toc452110494 \h </w:instrText>
        </w:r>
        <w:r w:rsidR="00AC602F">
          <w:fldChar w:fldCharType="separate"/>
        </w:r>
        <w:r w:rsidR="00AC602F">
          <w:t>51</w:t>
        </w:r>
        <w:r w:rsidR="00AC602F">
          <w:fldChar w:fldCharType="end"/>
        </w:r>
      </w:hyperlink>
    </w:p>
    <w:p w:rsidR="00AC602F" w:rsidRDefault="0050418C">
      <w:pPr>
        <w:pStyle w:val="TOC2"/>
        <w:rPr>
          <w:rFonts w:eastAsiaTheme="minorEastAsia"/>
          <w:smallCaps w:val="0"/>
          <w:sz w:val="22"/>
          <w:lang w:eastAsia="zh-TW"/>
        </w:rPr>
      </w:pPr>
      <w:hyperlink w:anchor="_Toc452110495" w:history="1">
        <w:r w:rsidR="00AC602F" w:rsidRPr="005F16D8">
          <w:rPr>
            <w:rStyle w:val="Hyperlink"/>
          </w:rPr>
          <w:t>Renovação dos Serviços Online</w:t>
        </w:r>
        <w:r w:rsidR="00AC602F">
          <w:tab/>
        </w:r>
        <w:r w:rsidR="00AC602F">
          <w:fldChar w:fldCharType="begin"/>
        </w:r>
        <w:r w:rsidR="00AC602F">
          <w:instrText xml:space="preserve"> PAGEREF _Toc452110495 \h </w:instrText>
        </w:r>
        <w:r w:rsidR="00AC602F">
          <w:fldChar w:fldCharType="separate"/>
        </w:r>
        <w:r w:rsidR="00AC602F">
          <w:t>51</w:t>
        </w:r>
        <w:r w:rsidR="00AC602F">
          <w:fldChar w:fldCharType="end"/>
        </w:r>
      </w:hyperlink>
    </w:p>
    <w:p w:rsidR="00AC602F" w:rsidRDefault="0050418C">
      <w:pPr>
        <w:pStyle w:val="TOC2"/>
        <w:rPr>
          <w:rFonts w:eastAsiaTheme="minorEastAsia"/>
          <w:smallCaps w:val="0"/>
          <w:sz w:val="22"/>
          <w:lang w:eastAsia="zh-TW"/>
        </w:rPr>
      </w:pPr>
      <w:hyperlink w:anchor="_Toc452110496" w:history="1">
        <w:r w:rsidR="00AC602F" w:rsidRPr="005F16D8">
          <w:rPr>
            <w:rStyle w:val="Hyperlink"/>
          </w:rPr>
          <w:t>Serviços do Microsoft Azure</w:t>
        </w:r>
        <w:r w:rsidR="00AC602F">
          <w:tab/>
        </w:r>
        <w:r w:rsidR="00AC602F">
          <w:fldChar w:fldCharType="begin"/>
        </w:r>
        <w:r w:rsidR="00AC602F">
          <w:instrText xml:space="preserve"> PAGEREF _Toc452110496 \h </w:instrText>
        </w:r>
        <w:r w:rsidR="00AC602F">
          <w:fldChar w:fldCharType="separate"/>
        </w:r>
        <w:r w:rsidR="00AC602F">
          <w:t>51</w:t>
        </w:r>
        <w:r w:rsidR="00AC602F">
          <w:fldChar w:fldCharType="end"/>
        </w:r>
      </w:hyperlink>
    </w:p>
    <w:p w:rsidR="00AC602F" w:rsidRDefault="0050418C">
      <w:pPr>
        <w:pStyle w:val="TOC3"/>
        <w:rPr>
          <w:rFonts w:eastAsiaTheme="minorEastAsia"/>
          <w:smallCaps w:val="0"/>
          <w:sz w:val="22"/>
          <w:lang w:eastAsia="zh-TW"/>
        </w:rPr>
      </w:pPr>
      <w:hyperlink w:anchor="_Toc452110497" w:history="1">
        <w:r w:rsidR="00AC602F" w:rsidRPr="005F16D8">
          <w:rPr>
            <w:rStyle w:val="Hyperlink"/>
          </w:rPr>
          <w:t>Serviços do Microsoft Azure</w:t>
        </w:r>
        <w:r w:rsidR="00AC602F">
          <w:tab/>
        </w:r>
        <w:r w:rsidR="00AC602F">
          <w:fldChar w:fldCharType="begin"/>
        </w:r>
        <w:r w:rsidR="00AC602F">
          <w:instrText xml:space="preserve"> PAGEREF _Toc452110497 \h </w:instrText>
        </w:r>
        <w:r w:rsidR="00AC602F">
          <w:fldChar w:fldCharType="separate"/>
        </w:r>
        <w:r w:rsidR="00AC602F">
          <w:t>53</w:t>
        </w:r>
        <w:r w:rsidR="00AC602F">
          <w:fldChar w:fldCharType="end"/>
        </w:r>
      </w:hyperlink>
    </w:p>
    <w:p w:rsidR="00AC602F" w:rsidRDefault="0050418C">
      <w:pPr>
        <w:pStyle w:val="TOC3"/>
        <w:rPr>
          <w:rFonts w:eastAsiaTheme="minorEastAsia"/>
          <w:smallCaps w:val="0"/>
          <w:sz w:val="22"/>
          <w:lang w:eastAsia="zh-TW"/>
        </w:rPr>
      </w:pPr>
      <w:hyperlink w:anchor="_Toc452110498" w:history="1">
        <w:r w:rsidR="00AC602F" w:rsidRPr="005F16D8">
          <w:rPr>
            <w:rStyle w:val="Hyperlink"/>
          </w:rPr>
          <w:t>Suporte do Microsoft Azure (Plano)</w:t>
        </w:r>
        <w:r w:rsidR="00AC602F">
          <w:tab/>
        </w:r>
        <w:r w:rsidR="00AC602F">
          <w:fldChar w:fldCharType="begin"/>
        </w:r>
        <w:r w:rsidR="00AC602F">
          <w:instrText xml:space="preserve"> PAGEREF _Toc452110498 \h </w:instrText>
        </w:r>
        <w:r w:rsidR="00AC602F">
          <w:fldChar w:fldCharType="separate"/>
        </w:r>
        <w:r w:rsidR="00AC602F">
          <w:t>53</w:t>
        </w:r>
        <w:r w:rsidR="00AC602F">
          <w:fldChar w:fldCharType="end"/>
        </w:r>
      </w:hyperlink>
    </w:p>
    <w:p w:rsidR="00AC602F" w:rsidRDefault="0050418C">
      <w:pPr>
        <w:pStyle w:val="TOC3"/>
        <w:rPr>
          <w:rFonts w:eastAsiaTheme="minorEastAsia"/>
          <w:smallCaps w:val="0"/>
          <w:sz w:val="22"/>
          <w:lang w:eastAsia="zh-TW"/>
        </w:rPr>
      </w:pPr>
      <w:hyperlink w:anchor="_Toc452110499" w:history="1">
        <w:r w:rsidR="00AC602F" w:rsidRPr="005F16D8">
          <w:rPr>
            <w:rStyle w:val="Hyperlink"/>
          </w:rPr>
          <w:t>Microsoft Azure Site Recovery (Plano)</w:t>
        </w:r>
        <w:r w:rsidR="00AC602F">
          <w:tab/>
        </w:r>
        <w:r w:rsidR="00AC602F">
          <w:fldChar w:fldCharType="begin"/>
        </w:r>
        <w:r w:rsidR="00AC602F">
          <w:instrText xml:space="preserve"> PAGEREF _Toc452110499 \h </w:instrText>
        </w:r>
        <w:r w:rsidR="00AC602F">
          <w:fldChar w:fldCharType="separate"/>
        </w:r>
        <w:r w:rsidR="00AC602F">
          <w:t>54</w:t>
        </w:r>
        <w:r w:rsidR="00AC602F">
          <w:fldChar w:fldCharType="end"/>
        </w:r>
      </w:hyperlink>
    </w:p>
    <w:p w:rsidR="00AC602F" w:rsidRDefault="0050418C">
      <w:pPr>
        <w:pStyle w:val="TOC3"/>
        <w:rPr>
          <w:rFonts w:eastAsiaTheme="minorEastAsia"/>
          <w:smallCaps w:val="0"/>
          <w:sz w:val="22"/>
          <w:lang w:eastAsia="zh-TW"/>
        </w:rPr>
      </w:pPr>
      <w:hyperlink w:anchor="_Toc452110500" w:history="1">
        <w:r w:rsidR="00AC602F" w:rsidRPr="005F16D8">
          <w:rPr>
            <w:rStyle w:val="Hyperlink"/>
          </w:rPr>
          <w:t>Enterprise Mobility Suite (Plano)</w:t>
        </w:r>
        <w:r w:rsidR="00AC602F">
          <w:tab/>
        </w:r>
        <w:r w:rsidR="00AC602F">
          <w:fldChar w:fldCharType="begin"/>
        </w:r>
        <w:r w:rsidR="00AC602F">
          <w:instrText xml:space="preserve"> PAGEREF _Toc452110500 \h </w:instrText>
        </w:r>
        <w:r w:rsidR="00AC602F">
          <w:fldChar w:fldCharType="separate"/>
        </w:r>
        <w:r w:rsidR="00AC602F">
          <w:t>54</w:t>
        </w:r>
        <w:r w:rsidR="00AC602F">
          <w:fldChar w:fldCharType="end"/>
        </w:r>
      </w:hyperlink>
    </w:p>
    <w:p w:rsidR="00AC602F" w:rsidRDefault="0050418C">
      <w:pPr>
        <w:pStyle w:val="TOC3"/>
        <w:rPr>
          <w:rFonts w:eastAsiaTheme="minorEastAsia"/>
          <w:smallCaps w:val="0"/>
          <w:sz w:val="22"/>
          <w:lang w:eastAsia="zh-TW"/>
        </w:rPr>
      </w:pPr>
      <w:hyperlink w:anchor="_Toc452110501" w:history="1">
        <w:r w:rsidR="00AC602F" w:rsidRPr="005F16D8">
          <w:rPr>
            <w:rStyle w:val="Hyperlink"/>
          </w:rPr>
          <w:t>Azure Active Directory (Plano)</w:t>
        </w:r>
        <w:r w:rsidR="00AC602F">
          <w:tab/>
        </w:r>
        <w:r w:rsidR="00AC602F">
          <w:fldChar w:fldCharType="begin"/>
        </w:r>
        <w:r w:rsidR="00AC602F">
          <w:instrText xml:space="preserve"> PAGEREF _Toc452110501 \h </w:instrText>
        </w:r>
        <w:r w:rsidR="00AC602F">
          <w:fldChar w:fldCharType="separate"/>
        </w:r>
        <w:r w:rsidR="00AC602F">
          <w:t>55</w:t>
        </w:r>
        <w:r w:rsidR="00AC602F">
          <w:fldChar w:fldCharType="end"/>
        </w:r>
      </w:hyperlink>
    </w:p>
    <w:p w:rsidR="00AC602F" w:rsidRDefault="0050418C">
      <w:pPr>
        <w:pStyle w:val="TOC3"/>
        <w:rPr>
          <w:rFonts w:eastAsiaTheme="minorEastAsia"/>
          <w:smallCaps w:val="0"/>
          <w:sz w:val="22"/>
          <w:lang w:eastAsia="zh-TW"/>
        </w:rPr>
      </w:pPr>
      <w:hyperlink w:anchor="_Toc452110502" w:history="1">
        <w:r w:rsidR="00AC602F" w:rsidRPr="005F16D8">
          <w:rPr>
            <w:rStyle w:val="Hyperlink"/>
          </w:rPr>
          <w:t>Gestão de Direitos Premium do Azure (Plano)</w:t>
        </w:r>
        <w:r w:rsidR="00AC602F">
          <w:tab/>
        </w:r>
        <w:r w:rsidR="00AC602F">
          <w:fldChar w:fldCharType="begin"/>
        </w:r>
        <w:r w:rsidR="00AC602F">
          <w:instrText xml:space="preserve"> PAGEREF _Toc452110502 \h </w:instrText>
        </w:r>
        <w:r w:rsidR="00AC602F">
          <w:fldChar w:fldCharType="separate"/>
        </w:r>
        <w:r w:rsidR="00AC602F">
          <w:t>55</w:t>
        </w:r>
        <w:r w:rsidR="00AC602F">
          <w:fldChar w:fldCharType="end"/>
        </w:r>
      </w:hyperlink>
    </w:p>
    <w:p w:rsidR="00AC602F" w:rsidRDefault="0050418C">
      <w:pPr>
        <w:pStyle w:val="TOC3"/>
        <w:rPr>
          <w:rFonts w:eastAsiaTheme="minorEastAsia"/>
          <w:smallCaps w:val="0"/>
          <w:sz w:val="22"/>
          <w:lang w:eastAsia="zh-TW"/>
        </w:rPr>
      </w:pPr>
      <w:hyperlink w:anchor="_Toc452110503" w:history="1">
        <w:r w:rsidR="00AC602F" w:rsidRPr="005F16D8">
          <w:rPr>
            <w:rStyle w:val="Hyperlink"/>
          </w:rPr>
          <w:t>Azure RemoteApp (Plano)</w:t>
        </w:r>
        <w:r w:rsidR="00AC602F">
          <w:tab/>
        </w:r>
        <w:r w:rsidR="00AC602F">
          <w:fldChar w:fldCharType="begin"/>
        </w:r>
        <w:r w:rsidR="00AC602F">
          <w:instrText xml:space="preserve"> PAGEREF _Toc452110503 \h </w:instrText>
        </w:r>
        <w:r w:rsidR="00AC602F">
          <w:fldChar w:fldCharType="separate"/>
        </w:r>
        <w:r w:rsidR="00AC602F">
          <w:t>56</w:t>
        </w:r>
        <w:r w:rsidR="00AC602F">
          <w:fldChar w:fldCharType="end"/>
        </w:r>
      </w:hyperlink>
    </w:p>
    <w:p w:rsidR="00AC602F" w:rsidRDefault="0050418C">
      <w:pPr>
        <w:pStyle w:val="TOC3"/>
        <w:rPr>
          <w:rFonts w:eastAsiaTheme="minorEastAsia"/>
          <w:smallCaps w:val="0"/>
          <w:sz w:val="22"/>
          <w:lang w:eastAsia="zh-TW"/>
        </w:rPr>
      </w:pPr>
      <w:hyperlink w:anchor="_Toc452110504" w:history="1">
        <w:r w:rsidR="00AC602F" w:rsidRPr="005F16D8">
          <w:rPr>
            <w:rStyle w:val="Hyperlink"/>
          </w:rPr>
          <w:t>Operations Management Suite (Plano)</w:t>
        </w:r>
        <w:r w:rsidR="00AC602F">
          <w:tab/>
        </w:r>
        <w:r w:rsidR="00AC602F">
          <w:fldChar w:fldCharType="begin"/>
        </w:r>
        <w:r w:rsidR="00AC602F">
          <w:instrText xml:space="preserve"> PAGEREF _Toc452110504 \h </w:instrText>
        </w:r>
        <w:r w:rsidR="00AC602F">
          <w:fldChar w:fldCharType="separate"/>
        </w:r>
        <w:r w:rsidR="00AC602F">
          <w:t>56</w:t>
        </w:r>
        <w:r w:rsidR="00AC602F">
          <w:fldChar w:fldCharType="end"/>
        </w:r>
      </w:hyperlink>
    </w:p>
    <w:p w:rsidR="00AC602F" w:rsidRDefault="0050418C">
      <w:pPr>
        <w:pStyle w:val="TOC3"/>
        <w:rPr>
          <w:rFonts w:eastAsiaTheme="minorEastAsia"/>
          <w:smallCaps w:val="0"/>
          <w:sz w:val="22"/>
          <w:lang w:eastAsia="zh-TW"/>
        </w:rPr>
      </w:pPr>
      <w:hyperlink w:anchor="_Toc452110505" w:history="1">
        <w:r w:rsidR="00AC602F" w:rsidRPr="005F16D8">
          <w:rPr>
            <w:rStyle w:val="Hyperlink"/>
          </w:rPr>
          <w:t>Microsoft MultiFactor Authentication (Plano)</w:t>
        </w:r>
        <w:r w:rsidR="00AC602F">
          <w:tab/>
        </w:r>
        <w:r w:rsidR="00AC602F">
          <w:fldChar w:fldCharType="begin"/>
        </w:r>
        <w:r w:rsidR="00AC602F">
          <w:instrText xml:space="preserve"> PAGEREF _Toc452110505 \h </w:instrText>
        </w:r>
        <w:r w:rsidR="00AC602F">
          <w:fldChar w:fldCharType="separate"/>
        </w:r>
        <w:r w:rsidR="00AC602F">
          <w:t>57</w:t>
        </w:r>
        <w:r w:rsidR="00AC602F">
          <w:fldChar w:fldCharType="end"/>
        </w:r>
      </w:hyperlink>
    </w:p>
    <w:p w:rsidR="00AC602F" w:rsidRDefault="0050418C">
      <w:pPr>
        <w:pStyle w:val="TOC3"/>
        <w:rPr>
          <w:rFonts w:eastAsiaTheme="minorEastAsia"/>
          <w:smallCaps w:val="0"/>
          <w:sz w:val="22"/>
          <w:lang w:eastAsia="zh-TW"/>
        </w:rPr>
      </w:pPr>
      <w:hyperlink w:anchor="_Toc452110506" w:history="1">
        <w:r w:rsidR="00AC602F" w:rsidRPr="005F16D8">
          <w:rPr>
            <w:rStyle w:val="Hyperlink"/>
          </w:rPr>
          <w:t>Microsoft Cloud App Security</w:t>
        </w:r>
        <w:r w:rsidR="00AC602F">
          <w:tab/>
        </w:r>
        <w:r w:rsidR="00AC602F">
          <w:fldChar w:fldCharType="begin"/>
        </w:r>
        <w:r w:rsidR="00AC602F">
          <w:instrText xml:space="preserve"> PAGEREF _Toc452110506 \h </w:instrText>
        </w:r>
        <w:r w:rsidR="00AC602F">
          <w:fldChar w:fldCharType="separate"/>
        </w:r>
        <w:r w:rsidR="00AC602F">
          <w:t>57</w:t>
        </w:r>
        <w:r w:rsidR="00AC602F">
          <w:fldChar w:fldCharType="end"/>
        </w:r>
      </w:hyperlink>
    </w:p>
    <w:p w:rsidR="00AC602F" w:rsidRDefault="0050418C">
      <w:pPr>
        <w:pStyle w:val="TOC3"/>
        <w:rPr>
          <w:rFonts w:eastAsiaTheme="minorEastAsia"/>
          <w:smallCaps w:val="0"/>
          <w:sz w:val="22"/>
          <w:lang w:eastAsia="zh-TW"/>
        </w:rPr>
      </w:pPr>
      <w:hyperlink w:anchor="_Toc452110507" w:history="1">
        <w:r w:rsidR="00AC602F" w:rsidRPr="005F16D8">
          <w:rPr>
            <w:rStyle w:val="Hyperlink"/>
          </w:rPr>
          <w:t>Microsoft Azure StorSimple</w:t>
        </w:r>
        <w:r w:rsidR="00AC602F">
          <w:tab/>
        </w:r>
        <w:r w:rsidR="00AC602F">
          <w:fldChar w:fldCharType="begin"/>
        </w:r>
        <w:r w:rsidR="00AC602F">
          <w:instrText xml:space="preserve"> PAGEREF _Toc452110507 \h </w:instrText>
        </w:r>
        <w:r w:rsidR="00AC602F">
          <w:fldChar w:fldCharType="separate"/>
        </w:r>
        <w:r w:rsidR="00AC602F">
          <w:t>57</w:t>
        </w:r>
        <w:r w:rsidR="00AC602F">
          <w:fldChar w:fldCharType="end"/>
        </w:r>
      </w:hyperlink>
    </w:p>
    <w:p w:rsidR="00AC602F" w:rsidRDefault="0050418C">
      <w:pPr>
        <w:pStyle w:val="TOC2"/>
        <w:rPr>
          <w:rFonts w:eastAsiaTheme="minorEastAsia"/>
          <w:smallCaps w:val="0"/>
          <w:sz w:val="22"/>
          <w:lang w:eastAsia="zh-TW"/>
        </w:rPr>
      </w:pPr>
      <w:hyperlink w:anchor="_Toc452110508" w:history="1">
        <w:r w:rsidR="00AC602F" w:rsidRPr="005F16D8">
          <w:rPr>
            <w:rStyle w:val="Hyperlink"/>
          </w:rPr>
          <w:t>Enterprise Cloud Suite</w:t>
        </w:r>
        <w:r w:rsidR="00AC602F">
          <w:tab/>
        </w:r>
        <w:r w:rsidR="00AC602F">
          <w:fldChar w:fldCharType="begin"/>
        </w:r>
        <w:r w:rsidR="00AC602F">
          <w:instrText xml:space="preserve"> PAGEREF _Toc452110508 \h </w:instrText>
        </w:r>
        <w:r w:rsidR="00AC602F">
          <w:fldChar w:fldCharType="separate"/>
        </w:r>
        <w:r w:rsidR="00AC602F">
          <w:t>58</w:t>
        </w:r>
        <w:r w:rsidR="00AC602F">
          <w:fldChar w:fldCharType="end"/>
        </w:r>
      </w:hyperlink>
    </w:p>
    <w:p w:rsidR="00AC602F" w:rsidRDefault="0050418C">
      <w:pPr>
        <w:pStyle w:val="TOC2"/>
        <w:rPr>
          <w:rFonts w:eastAsiaTheme="minorEastAsia"/>
          <w:smallCaps w:val="0"/>
          <w:sz w:val="22"/>
          <w:lang w:eastAsia="zh-TW"/>
        </w:rPr>
      </w:pPr>
      <w:hyperlink w:anchor="_Toc452110509" w:history="1">
        <w:r w:rsidR="00AC602F" w:rsidRPr="005F16D8">
          <w:rPr>
            <w:rStyle w:val="Hyperlink"/>
          </w:rPr>
          <w:t>Microsoft Intune</w:t>
        </w:r>
        <w:r w:rsidR="00AC602F">
          <w:tab/>
        </w:r>
        <w:r w:rsidR="00AC602F">
          <w:fldChar w:fldCharType="begin"/>
        </w:r>
        <w:r w:rsidR="00AC602F">
          <w:instrText xml:space="preserve"> PAGEREF _Toc452110509 \h </w:instrText>
        </w:r>
        <w:r w:rsidR="00AC602F">
          <w:fldChar w:fldCharType="separate"/>
        </w:r>
        <w:r w:rsidR="00AC602F">
          <w:t>58</w:t>
        </w:r>
        <w:r w:rsidR="00AC602F">
          <w:fldChar w:fldCharType="end"/>
        </w:r>
      </w:hyperlink>
    </w:p>
    <w:p w:rsidR="00AC602F" w:rsidRDefault="0050418C">
      <w:pPr>
        <w:pStyle w:val="TOC2"/>
        <w:rPr>
          <w:rFonts w:eastAsiaTheme="minorEastAsia"/>
          <w:smallCaps w:val="0"/>
          <w:sz w:val="22"/>
          <w:lang w:eastAsia="zh-TW"/>
        </w:rPr>
      </w:pPr>
      <w:hyperlink w:anchor="_Toc452110510" w:history="1">
        <w:r w:rsidR="00AC602F" w:rsidRPr="005F16D8">
          <w:rPr>
            <w:rStyle w:val="Hyperlink"/>
          </w:rPr>
          <w:t>Microsoft Dynamics Online Services</w:t>
        </w:r>
        <w:r w:rsidR="00AC602F">
          <w:tab/>
        </w:r>
        <w:r w:rsidR="00AC602F">
          <w:fldChar w:fldCharType="begin"/>
        </w:r>
        <w:r w:rsidR="00AC602F">
          <w:instrText xml:space="preserve"> PAGEREF _Toc452110510 \h </w:instrText>
        </w:r>
        <w:r w:rsidR="00AC602F">
          <w:fldChar w:fldCharType="separate"/>
        </w:r>
        <w:r w:rsidR="00AC602F">
          <w:t>59</w:t>
        </w:r>
        <w:r w:rsidR="00AC602F">
          <w:fldChar w:fldCharType="end"/>
        </w:r>
      </w:hyperlink>
    </w:p>
    <w:p w:rsidR="00AC602F" w:rsidRDefault="0050418C">
      <w:pPr>
        <w:pStyle w:val="TOC3"/>
        <w:rPr>
          <w:rFonts w:eastAsiaTheme="minorEastAsia"/>
          <w:smallCaps w:val="0"/>
          <w:sz w:val="22"/>
          <w:lang w:eastAsia="zh-TW"/>
        </w:rPr>
      </w:pPr>
      <w:hyperlink w:anchor="_Toc452110511" w:history="1">
        <w:r w:rsidR="00AC602F" w:rsidRPr="005F16D8">
          <w:rPr>
            <w:rStyle w:val="Hyperlink"/>
          </w:rPr>
          <w:t>Microsoft Dynamics AX</w:t>
        </w:r>
        <w:r w:rsidR="00AC602F">
          <w:tab/>
        </w:r>
        <w:r w:rsidR="00AC602F">
          <w:fldChar w:fldCharType="begin"/>
        </w:r>
        <w:r w:rsidR="00AC602F">
          <w:instrText xml:space="preserve"> PAGEREF _Toc452110511 \h </w:instrText>
        </w:r>
        <w:r w:rsidR="00AC602F">
          <w:fldChar w:fldCharType="separate"/>
        </w:r>
        <w:r w:rsidR="00AC602F">
          <w:t>59</w:t>
        </w:r>
        <w:r w:rsidR="00AC602F">
          <w:fldChar w:fldCharType="end"/>
        </w:r>
      </w:hyperlink>
    </w:p>
    <w:p w:rsidR="00AC602F" w:rsidRDefault="0050418C">
      <w:pPr>
        <w:pStyle w:val="TOC3"/>
        <w:rPr>
          <w:rFonts w:eastAsiaTheme="minorEastAsia"/>
          <w:smallCaps w:val="0"/>
          <w:sz w:val="22"/>
          <w:lang w:eastAsia="zh-TW"/>
        </w:rPr>
      </w:pPr>
      <w:hyperlink w:anchor="_Toc452110512" w:history="1">
        <w:r w:rsidR="00AC602F" w:rsidRPr="005F16D8">
          <w:rPr>
            <w:rStyle w:val="Hyperlink"/>
          </w:rPr>
          <w:t>Microsoft Dynamics CRM Online</w:t>
        </w:r>
        <w:r w:rsidR="00AC602F">
          <w:tab/>
        </w:r>
        <w:r w:rsidR="00AC602F">
          <w:fldChar w:fldCharType="begin"/>
        </w:r>
        <w:r w:rsidR="00AC602F">
          <w:instrText xml:space="preserve"> PAGEREF _Toc452110512 \h </w:instrText>
        </w:r>
        <w:r w:rsidR="00AC602F">
          <w:fldChar w:fldCharType="separate"/>
        </w:r>
        <w:r w:rsidR="00AC602F">
          <w:t>60</w:t>
        </w:r>
        <w:r w:rsidR="00AC602F">
          <w:fldChar w:fldCharType="end"/>
        </w:r>
      </w:hyperlink>
    </w:p>
    <w:p w:rsidR="00AC602F" w:rsidRDefault="0050418C">
      <w:pPr>
        <w:pStyle w:val="TOC3"/>
        <w:rPr>
          <w:rFonts w:eastAsiaTheme="minorEastAsia"/>
          <w:smallCaps w:val="0"/>
          <w:sz w:val="22"/>
          <w:lang w:eastAsia="zh-TW"/>
        </w:rPr>
      </w:pPr>
      <w:hyperlink w:anchor="_Toc452110513" w:history="1">
        <w:r w:rsidR="00AC602F" w:rsidRPr="005F16D8">
          <w:rPr>
            <w:rStyle w:val="Hyperlink"/>
          </w:rPr>
          <w:t>Microsoft Dynamics Marketing</w:t>
        </w:r>
        <w:r w:rsidR="00AC602F">
          <w:tab/>
        </w:r>
        <w:r w:rsidR="00AC602F">
          <w:fldChar w:fldCharType="begin"/>
        </w:r>
        <w:r w:rsidR="00AC602F">
          <w:instrText xml:space="preserve"> PAGEREF _Toc452110513 \h </w:instrText>
        </w:r>
        <w:r w:rsidR="00AC602F">
          <w:fldChar w:fldCharType="separate"/>
        </w:r>
        <w:r w:rsidR="00AC602F">
          <w:t>61</w:t>
        </w:r>
        <w:r w:rsidR="00AC602F">
          <w:fldChar w:fldCharType="end"/>
        </w:r>
      </w:hyperlink>
    </w:p>
    <w:p w:rsidR="00AC602F" w:rsidRDefault="0050418C">
      <w:pPr>
        <w:pStyle w:val="TOC3"/>
        <w:rPr>
          <w:rFonts w:eastAsiaTheme="minorEastAsia"/>
          <w:smallCaps w:val="0"/>
          <w:sz w:val="22"/>
          <w:lang w:eastAsia="zh-TW"/>
        </w:rPr>
      </w:pPr>
      <w:hyperlink w:anchor="_Toc452110514" w:history="1">
        <w:r w:rsidR="00AC602F" w:rsidRPr="005F16D8">
          <w:rPr>
            <w:rStyle w:val="Hyperlink"/>
          </w:rPr>
          <w:t>Microsoft Social Engagement</w:t>
        </w:r>
        <w:r w:rsidR="00AC602F">
          <w:tab/>
        </w:r>
        <w:r w:rsidR="00AC602F">
          <w:fldChar w:fldCharType="begin"/>
        </w:r>
        <w:r w:rsidR="00AC602F">
          <w:instrText xml:space="preserve"> PAGEREF _Toc452110514 \h </w:instrText>
        </w:r>
        <w:r w:rsidR="00AC602F">
          <w:fldChar w:fldCharType="separate"/>
        </w:r>
        <w:r w:rsidR="00AC602F">
          <w:t>61</w:t>
        </w:r>
        <w:r w:rsidR="00AC602F">
          <w:fldChar w:fldCharType="end"/>
        </w:r>
      </w:hyperlink>
    </w:p>
    <w:p w:rsidR="00AC602F" w:rsidRDefault="0050418C">
      <w:pPr>
        <w:pStyle w:val="TOC3"/>
        <w:rPr>
          <w:rFonts w:eastAsiaTheme="minorEastAsia"/>
          <w:smallCaps w:val="0"/>
          <w:sz w:val="22"/>
          <w:lang w:eastAsia="zh-TW"/>
        </w:rPr>
      </w:pPr>
      <w:hyperlink w:anchor="_Toc452110515" w:history="1">
        <w:r w:rsidR="00AC602F" w:rsidRPr="005F16D8">
          <w:rPr>
            <w:rStyle w:val="Hyperlink"/>
          </w:rPr>
          <w:t>Parature, da Microsoft</w:t>
        </w:r>
        <w:r w:rsidR="00AC602F">
          <w:tab/>
        </w:r>
        <w:r w:rsidR="00AC602F">
          <w:fldChar w:fldCharType="begin"/>
        </w:r>
        <w:r w:rsidR="00AC602F">
          <w:instrText xml:space="preserve"> PAGEREF _Toc452110515 \h </w:instrText>
        </w:r>
        <w:r w:rsidR="00AC602F">
          <w:fldChar w:fldCharType="separate"/>
        </w:r>
        <w:r w:rsidR="00AC602F">
          <w:t>62</w:t>
        </w:r>
        <w:r w:rsidR="00AC602F">
          <w:fldChar w:fldCharType="end"/>
        </w:r>
      </w:hyperlink>
    </w:p>
    <w:p w:rsidR="00AC602F" w:rsidRDefault="0050418C">
      <w:pPr>
        <w:pStyle w:val="TOC2"/>
        <w:rPr>
          <w:rFonts w:eastAsiaTheme="minorEastAsia"/>
          <w:smallCaps w:val="0"/>
          <w:sz w:val="22"/>
          <w:lang w:eastAsia="zh-TW"/>
        </w:rPr>
      </w:pPr>
      <w:hyperlink w:anchor="_Toc452110516" w:history="1">
        <w:r w:rsidR="00AC602F" w:rsidRPr="005F16D8">
          <w:rPr>
            <w:rStyle w:val="Hyperlink"/>
          </w:rPr>
          <w:t>Serviços do Office 365</w:t>
        </w:r>
        <w:r w:rsidR="00AC602F">
          <w:tab/>
        </w:r>
        <w:r w:rsidR="00AC602F">
          <w:fldChar w:fldCharType="begin"/>
        </w:r>
        <w:r w:rsidR="00AC602F">
          <w:instrText xml:space="preserve"> PAGEREF _Toc452110516 \h </w:instrText>
        </w:r>
        <w:r w:rsidR="00AC602F">
          <w:fldChar w:fldCharType="separate"/>
        </w:r>
        <w:r w:rsidR="00AC602F">
          <w:t>62</w:t>
        </w:r>
        <w:r w:rsidR="00AC602F">
          <w:fldChar w:fldCharType="end"/>
        </w:r>
      </w:hyperlink>
    </w:p>
    <w:p w:rsidR="00AC602F" w:rsidRDefault="0050418C">
      <w:pPr>
        <w:pStyle w:val="TOC3"/>
        <w:rPr>
          <w:rFonts w:eastAsiaTheme="minorEastAsia"/>
          <w:smallCaps w:val="0"/>
          <w:sz w:val="22"/>
          <w:lang w:eastAsia="zh-TW"/>
        </w:rPr>
      </w:pPr>
      <w:hyperlink w:anchor="_Toc452110517" w:history="1">
        <w:r w:rsidR="00AC602F" w:rsidRPr="005F16D8">
          <w:rPr>
            <w:rStyle w:val="Hyperlink"/>
          </w:rPr>
          <w:t>Office 365 Applications</w:t>
        </w:r>
        <w:r w:rsidR="00AC602F">
          <w:tab/>
        </w:r>
        <w:r w:rsidR="00AC602F">
          <w:fldChar w:fldCharType="begin"/>
        </w:r>
        <w:r w:rsidR="00AC602F">
          <w:instrText xml:space="preserve"> PAGEREF _Toc452110517 \h </w:instrText>
        </w:r>
        <w:r w:rsidR="00AC602F">
          <w:fldChar w:fldCharType="separate"/>
        </w:r>
        <w:r w:rsidR="00AC602F">
          <w:t>62</w:t>
        </w:r>
        <w:r w:rsidR="00AC602F">
          <w:fldChar w:fldCharType="end"/>
        </w:r>
      </w:hyperlink>
    </w:p>
    <w:p w:rsidR="00AC602F" w:rsidRDefault="0050418C">
      <w:pPr>
        <w:pStyle w:val="TOC3"/>
        <w:rPr>
          <w:rFonts w:eastAsiaTheme="minorEastAsia"/>
          <w:smallCaps w:val="0"/>
          <w:sz w:val="22"/>
          <w:lang w:eastAsia="zh-TW"/>
        </w:rPr>
      </w:pPr>
      <w:hyperlink w:anchor="_Toc452110518" w:history="1">
        <w:r w:rsidR="00AC602F" w:rsidRPr="005F16D8">
          <w:rPr>
            <w:rStyle w:val="Hyperlink"/>
          </w:rPr>
          <w:t>Conjuntos de Aplicações do Office 365</w:t>
        </w:r>
        <w:r w:rsidR="00AC602F">
          <w:tab/>
        </w:r>
        <w:r w:rsidR="00AC602F">
          <w:fldChar w:fldCharType="begin"/>
        </w:r>
        <w:r w:rsidR="00AC602F">
          <w:instrText xml:space="preserve"> PAGEREF _Toc452110518 \h </w:instrText>
        </w:r>
        <w:r w:rsidR="00AC602F">
          <w:fldChar w:fldCharType="separate"/>
        </w:r>
        <w:r w:rsidR="00AC602F">
          <w:t>63</w:t>
        </w:r>
        <w:r w:rsidR="00AC602F">
          <w:fldChar w:fldCharType="end"/>
        </w:r>
      </w:hyperlink>
    </w:p>
    <w:p w:rsidR="00AC602F" w:rsidRDefault="0050418C">
      <w:pPr>
        <w:pStyle w:val="TOC3"/>
        <w:rPr>
          <w:rFonts w:eastAsiaTheme="minorEastAsia"/>
          <w:smallCaps w:val="0"/>
          <w:sz w:val="22"/>
          <w:lang w:eastAsia="zh-TW"/>
        </w:rPr>
      </w:pPr>
      <w:hyperlink w:anchor="_Toc452110519" w:history="1">
        <w:r w:rsidR="00AC602F" w:rsidRPr="005F16D8">
          <w:rPr>
            <w:rStyle w:val="Hyperlink"/>
          </w:rPr>
          <w:t>Office 365 Advanced Security Management</w:t>
        </w:r>
        <w:r w:rsidR="00AC602F">
          <w:tab/>
        </w:r>
        <w:r w:rsidR="00AC602F">
          <w:fldChar w:fldCharType="begin"/>
        </w:r>
        <w:r w:rsidR="00AC602F">
          <w:instrText xml:space="preserve"> PAGEREF _Toc452110519 \h </w:instrText>
        </w:r>
        <w:r w:rsidR="00AC602F">
          <w:fldChar w:fldCharType="separate"/>
        </w:r>
        <w:r w:rsidR="00AC602F">
          <w:t>66</w:t>
        </w:r>
        <w:r w:rsidR="00AC602F">
          <w:fldChar w:fldCharType="end"/>
        </w:r>
      </w:hyperlink>
    </w:p>
    <w:p w:rsidR="00AC602F" w:rsidRDefault="0050418C">
      <w:pPr>
        <w:pStyle w:val="TOC3"/>
        <w:rPr>
          <w:rFonts w:eastAsiaTheme="minorEastAsia"/>
          <w:smallCaps w:val="0"/>
          <w:sz w:val="22"/>
          <w:lang w:eastAsia="zh-TW"/>
        </w:rPr>
      </w:pPr>
      <w:hyperlink w:anchor="_Toc452110520" w:history="1">
        <w:r w:rsidR="00AC602F" w:rsidRPr="005F16D8">
          <w:rPr>
            <w:rStyle w:val="Hyperlink"/>
          </w:rPr>
          <w:t>Office 365 Customer Lockbox</w:t>
        </w:r>
        <w:r w:rsidR="00AC602F">
          <w:tab/>
        </w:r>
        <w:r w:rsidR="00AC602F">
          <w:fldChar w:fldCharType="begin"/>
        </w:r>
        <w:r w:rsidR="00AC602F">
          <w:instrText xml:space="preserve"> PAGEREF _Toc452110520 \h </w:instrText>
        </w:r>
        <w:r w:rsidR="00AC602F">
          <w:fldChar w:fldCharType="separate"/>
        </w:r>
        <w:r w:rsidR="00AC602F">
          <w:t>66</w:t>
        </w:r>
        <w:r w:rsidR="00AC602F">
          <w:fldChar w:fldCharType="end"/>
        </w:r>
      </w:hyperlink>
    </w:p>
    <w:p w:rsidR="00AC602F" w:rsidRDefault="0050418C">
      <w:pPr>
        <w:pStyle w:val="TOC3"/>
        <w:rPr>
          <w:rFonts w:eastAsiaTheme="minorEastAsia"/>
          <w:smallCaps w:val="0"/>
          <w:sz w:val="22"/>
          <w:lang w:eastAsia="zh-TW"/>
        </w:rPr>
      </w:pPr>
      <w:hyperlink w:anchor="_Toc452110521" w:history="1">
        <w:r w:rsidR="00AC602F" w:rsidRPr="005F16D8">
          <w:rPr>
            <w:rStyle w:val="Hyperlink"/>
          </w:rPr>
          <w:t>Office 365 Delve Analytics</w:t>
        </w:r>
        <w:r w:rsidR="00AC602F">
          <w:tab/>
        </w:r>
        <w:r w:rsidR="00AC602F">
          <w:fldChar w:fldCharType="begin"/>
        </w:r>
        <w:r w:rsidR="00AC602F">
          <w:instrText xml:space="preserve"> PAGEREF _Toc452110521 \h </w:instrText>
        </w:r>
        <w:r w:rsidR="00AC602F">
          <w:fldChar w:fldCharType="separate"/>
        </w:r>
        <w:r w:rsidR="00AC602F">
          <w:t>67</w:t>
        </w:r>
        <w:r w:rsidR="00AC602F">
          <w:fldChar w:fldCharType="end"/>
        </w:r>
      </w:hyperlink>
    </w:p>
    <w:p w:rsidR="00AC602F" w:rsidRDefault="0050418C">
      <w:pPr>
        <w:pStyle w:val="TOC3"/>
        <w:rPr>
          <w:rFonts w:eastAsiaTheme="minorEastAsia"/>
          <w:smallCaps w:val="0"/>
          <w:sz w:val="22"/>
          <w:lang w:eastAsia="zh-TW"/>
        </w:rPr>
      </w:pPr>
      <w:hyperlink w:anchor="_Toc452110522" w:history="1">
        <w:r w:rsidR="00AC602F" w:rsidRPr="005F16D8">
          <w:rPr>
            <w:rStyle w:val="Hyperlink"/>
          </w:rPr>
          <w:t>Office 365 Advanced eDiscovery</w:t>
        </w:r>
        <w:r w:rsidR="00AC602F">
          <w:tab/>
        </w:r>
        <w:r w:rsidR="00AC602F">
          <w:fldChar w:fldCharType="begin"/>
        </w:r>
        <w:r w:rsidR="00AC602F">
          <w:instrText xml:space="preserve"> PAGEREF _Toc452110522 \h </w:instrText>
        </w:r>
        <w:r w:rsidR="00AC602F">
          <w:fldChar w:fldCharType="separate"/>
        </w:r>
        <w:r w:rsidR="00AC602F">
          <w:t>67</w:t>
        </w:r>
        <w:r w:rsidR="00AC602F">
          <w:fldChar w:fldCharType="end"/>
        </w:r>
      </w:hyperlink>
    </w:p>
    <w:p w:rsidR="00AC602F" w:rsidRDefault="0050418C">
      <w:pPr>
        <w:pStyle w:val="TOC3"/>
        <w:rPr>
          <w:rFonts w:eastAsiaTheme="minorEastAsia"/>
          <w:smallCaps w:val="0"/>
          <w:sz w:val="22"/>
          <w:lang w:eastAsia="zh-TW"/>
        </w:rPr>
      </w:pPr>
      <w:hyperlink w:anchor="_Toc452110523" w:history="1">
        <w:r w:rsidR="00AC602F" w:rsidRPr="005F16D8">
          <w:rPr>
            <w:rStyle w:val="Hyperlink"/>
          </w:rPr>
          <w:t>Exchange Online</w:t>
        </w:r>
        <w:r w:rsidR="00AC602F">
          <w:tab/>
        </w:r>
        <w:r w:rsidR="00AC602F">
          <w:fldChar w:fldCharType="begin"/>
        </w:r>
        <w:r w:rsidR="00AC602F">
          <w:instrText xml:space="preserve"> PAGEREF _Toc452110523 \h </w:instrText>
        </w:r>
        <w:r w:rsidR="00AC602F">
          <w:fldChar w:fldCharType="separate"/>
        </w:r>
        <w:r w:rsidR="00AC602F">
          <w:t>67</w:t>
        </w:r>
        <w:r w:rsidR="00AC602F">
          <w:fldChar w:fldCharType="end"/>
        </w:r>
      </w:hyperlink>
    </w:p>
    <w:p w:rsidR="00AC602F" w:rsidRDefault="0050418C">
      <w:pPr>
        <w:pStyle w:val="TOC3"/>
        <w:rPr>
          <w:rFonts w:eastAsiaTheme="minorEastAsia"/>
          <w:smallCaps w:val="0"/>
          <w:sz w:val="22"/>
          <w:lang w:eastAsia="zh-TW"/>
        </w:rPr>
      </w:pPr>
      <w:hyperlink w:anchor="_Toc452110524" w:history="1">
        <w:r w:rsidR="00AC602F" w:rsidRPr="005F16D8">
          <w:rPr>
            <w:rStyle w:val="Hyperlink"/>
          </w:rPr>
          <w:t>OneDrive para Empresas</w:t>
        </w:r>
        <w:r w:rsidR="00AC602F">
          <w:tab/>
        </w:r>
        <w:r w:rsidR="00AC602F">
          <w:fldChar w:fldCharType="begin"/>
        </w:r>
        <w:r w:rsidR="00AC602F">
          <w:instrText xml:space="preserve"> PAGEREF _Toc452110524 \h </w:instrText>
        </w:r>
        <w:r w:rsidR="00AC602F">
          <w:fldChar w:fldCharType="separate"/>
        </w:r>
        <w:r w:rsidR="00AC602F">
          <w:t>68</w:t>
        </w:r>
        <w:r w:rsidR="00AC602F">
          <w:fldChar w:fldCharType="end"/>
        </w:r>
      </w:hyperlink>
    </w:p>
    <w:p w:rsidR="00AC602F" w:rsidRDefault="0050418C">
      <w:pPr>
        <w:pStyle w:val="TOC3"/>
        <w:rPr>
          <w:rFonts w:eastAsiaTheme="minorEastAsia"/>
          <w:smallCaps w:val="0"/>
          <w:sz w:val="22"/>
          <w:lang w:eastAsia="zh-TW"/>
        </w:rPr>
      </w:pPr>
      <w:hyperlink w:anchor="_Toc452110525" w:history="1">
        <w:r w:rsidR="00AC602F" w:rsidRPr="005F16D8">
          <w:rPr>
            <w:rStyle w:val="Hyperlink"/>
          </w:rPr>
          <w:t>Project Online</w:t>
        </w:r>
        <w:r w:rsidR="00AC602F">
          <w:tab/>
        </w:r>
        <w:r w:rsidR="00AC602F">
          <w:fldChar w:fldCharType="begin"/>
        </w:r>
        <w:r w:rsidR="00AC602F">
          <w:instrText xml:space="preserve"> PAGEREF _Toc452110525 \h </w:instrText>
        </w:r>
        <w:r w:rsidR="00AC602F">
          <w:fldChar w:fldCharType="separate"/>
        </w:r>
        <w:r w:rsidR="00AC602F">
          <w:t>68</w:t>
        </w:r>
        <w:r w:rsidR="00AC602F">
          <w:fldChar w:fldCharType="end"/>
        </w:r>
      </w:hyperlink>
    </w:p>
    <w:p w:rsidR="00AC602F" w:rsidRDefault="0050418C">
      <w:pPr>
        <w:pStyle w:val="TOC3"/>
        <w:rPr>
          <w:rFonts w:eastAsiaTheme="minorEastAsia"/>
          <w:smallCaps w:val="0"/>
          <w:sz w:val="22"/>
          <w:lang w:eastAsia="zh-TW"/>
        </w:rPr>
      </w:pPr>
      <w:hyperlink w:anchor="_Toc452110526" w:history="1">
        <w:r w:rsidR="00AC602F" w:rsidRPr="005F16D8">
          <w:rPr>
            <w:rStyle w:val="Hyperlink"/>
          </w:rPr>
          <w:t>SharePoint Online</w:t>
        </w:r>
        <w:r w:rsidR="00AC602F">
          <w:tab/>
        </w:r>
        <w:r w:rsidR="00AC602F">
          <w:fldChar w:fldCharType="begin"/>
        </w:r>
        <w:r w:rsidR="00AC602F">
          <w:instrText xml:space="preserve"> PAGEREF _Toc452110526 \h </w:instrText>
        </w:r>
        <w:r w:rsidR="00AC602F">
          <w:fldChar w:fldCharType="separate"/>
        </w:r>
        <w:r w:rsidR="00AC602F">
          <w:t>69</w:t>
        </w:r>
        <w:r w:rsidR="00AC602F">
          <w:fldChar w:fldCharType="end"/>
        </w:r>
      </w:hyperlink>
    </w:p>
    <w:p w:rsidR="00AC602F" w:rsidRDefault="0050418C">
      <w:pPr>
        <w:pStyle w:val="TOC3"/>
        <w:rPr>
          <w:rFonts w:eastAsiaTheme="minorEastAsia"/>
          <w:smallCaps w:val="0"/>
          <w:sz w:val="22"/>
          <w:lang w:eastAsia="zh-TW"/>
        </w:rPr>
      </w:pPr>
      <w:hyperlink w:anchor="_Toc452110527" w:history="1">
        <w:r w:rsidR="00AC602F" w:rsidRPr="005F16D8">
          <w:rPr>
            <w:rStyle w:val="Hyperlink"/>
          </w:rPr>
          <w:t>Skype para Empresas Online</w:t>
        </w:r>
        <w:r w:rsidR="00AC602F">
          <w:tab/>
        </w:r>
        <w:r w:rsidR="00AC602F">
          <w:fldChar w:fldCharType="begin"/>
        </w:r>
        <w:r w:rsidR="00AC602F">
          <w:instrText xml:space="preserve"> PAGEREF _Toc452110527 \h </w:instrText>
        </w:r>
        <w:r w:rsidR="00AC602F">
          <w:fldChar w:fldCharType="separate"/>
        </w:r>
        <w:r w:rsidR="00AC602F">
          <w:t>69</w:t>
        </w:r>
        <w:r w:rsidR="00AC602F">
          <w:fldChar w:fldCharType="end"/>
        </w:r>
      </w:hyperlink>
    </w:p>
    <w:p w:rsidR="00AC602F" w:rsidRDefault="0050418C">
      <w:pPr>
        <w:pStyle w:val="TOC2"/>
        <w:rPr>
          <w:rFonts w:eastAsiaTheme="minorEastAsia"/>
          <w:smallCaps w:val="0"/>
          <w:sz w:val="22"/>
          <w:lang w:eastAsia="zh-TW"/>
        </w:rPr>
      </w:pPr>
      <w:hyperlink w:anchor="_Toc452110528" w:history="1">
        <w:r w:rsidR="00AC602F" w:rsidRPr="005F16D8">
          <w:rPr>
            <w:rStyle w:val="Hyperlink"/>
          </w:rPr>
          <w:t>Outros Serviços Online</w:t>
        </w:r>
        <w:r w:rsidR="00AC602F">
          <w:tab/>
        </w:r>
        <w:r w:rsidR="00AC602F">
          <w:fldChar w:fldCharType="begin"/>
        </w:r>
        <w:r w:rsidR="00AC602F">
          <w:instrText xml:space="preserve"> PAGEREF _Toc452110528 \h </w:instrText>
        </w:r>
        <w:r w:rsidR="00AC602F">
          <w:fldChar w:fldCharType="separate"/>
        </w:r>
        <w:r w:rsidR="00AC602F">
          <w:t>70</w:t>
        </w:r>
        <w:r w:rsidR="00AC602F">
          <w:fldChar w:fldCharType="end"/>
        </w:r>
      </w:hyperlink>
    </w:p>
    <w:p w:rsidR="00AC602F" w:rsidRDefault="0050418C">
      <w:pPr>
        <w:pStyle w:val="TOC3"/>
        <w:rPr>
          <w:rFonts w:eastAsiaTheme="minorEastAsia"/>
          <w:smallCaps w:val="0"/>
          <w:sz w:val="22"/>
          <w:lang w:eastAsia="zh-TW"/>
        </w:rPr>
      </w:pPr>
      <w:hyperlink w:anchor="_Toc452110529" w:history="1">
        <w:r w:rsidR="00AC602F" w:rsidRPr="005F16D8">
          <w:rPr>
            <w:rStyle w:val="Hyperlink"/>
          </w:rPr>
          <w:t>Mapas Bing</w:t>
        </w:r>
        <w:r w:rsidR="00AC602F">
          <w:tab/>
        </w:r>
        <w:r w:rsidR="00AC602F">
          <w:fldChar w:fldCharType="begin"/>
        </w:r>
        <w:r w:rsidR="00AC602F">
          <w:instrText xml:space="preserve"> PAGEREF _Toc452110529 \h </w:instrText>
        </w:r>
        <w:r w:rsidR="00AC602F">
          <w:fldChar w:fldCharType="separate"/>
        </w:r>
        <w:r w:rsidR="00AC602F">
          <w:t>70</w:t>
        </w:r>
        <w:r w:rsidR="00AC602F">
          <w:fldChar w:fldCharType="end"/>
        </w:r>
      </w:hyperlink>
    </w:p>
    <w:p w:rsidR="00AC602F" w:rsidRDefault="0050418C">
      <w:pPr>
        <w:pStyle w:val="TOC3"/>
        <w:rPr>
          <w:rFonts w:eastAsiaTheme="minorEastAsia"/>
          <w:smallCaps w:val="0"/>
          <w:sz w:val="22"/>
          <w:lang w:eastAsia="zh-TW"/>
        </w:rPr>
      </w:pPr>
      <w:hyperlink w:anchor="_Toc452110530" w:history="1">
        <w:r w:rsidR="00AC602F" w:rsidRPr="005F16D8">
          <w:rPr>
            <w:rStyle w:val="Hyperlink"/>
          </w:rPr>
          <w:t>Microsoft Learning</w:t>
        </w:r>
        <w:r w:rsidR="00AC602F">
          <w:tab/>
        </w:r>
        <w:r w:rsidR="00AC602F">
          <w:fldChar w:fldCharType="begin"/>
        </w:r>
        <w:r w:rsidR="00AC602F">
          <w:instrText xml:space="preserve"> PAGEREF _Toc452110530 \h </w:instrText>
        </w:r>
        <w:r w:rsidR="00AC602F">
          <w:fldChar w:fldCharType="separate"/>
        </w:r>
        <w:r w:rsidR="00AC602F">
          <w:t>71</w:t>
        </w:r>
        <w:r w:rsidR="00AC602F">
          <w:fldChar w:fldCharType="end"/>
        </w:r>
      </w:hyperlink>
    </w:p>
    <w:p w:rsidR="00AC602F" w:rsidRDefault="0050418C">
      <w:pPr>
        <w:pStyle w:val="TOC3"/>
        <w:rPr>
          <w:rFonts w:eastAsiaTheme="minorEastAsia"/>
          <w:smallCaps w:val="0"/>
          <w:sz w:val="22"/>
          <w:lang w:eastAsia="zh-TW"/>
        </w:rPr>
      </w:pPr>
      <w:hyperlink w:anchor="_Toc452110531" w:history="1">
        <w:r w:rsidR="00AC602F" w:rsidRPr="005F16D8">
          <w:rPr>
            <w:rStyle w:val="Hyperlink"/>
          </w:rPr>
          <w:t>Microsoft Translator</w:t>
        </w:r>
        <w:r w:rsidR="00AC602F">
          <w:tab/>
        </w:r>
        <w:r w:rsidR="00AC602F">
          <w:fldChar w:fldCharType="begin"/>
        </w:r>
        <w:r w:rsidR="00AC602F">
          <w:instrText xml:space="preserve"> PAGEREF _Toc452110531 \h </w:instrText>
        </w:r>
        <w:r w:rsidR="00AC602F">
          <w:fldChar w:fldCharType="separate"/>
        </w:r>
        <w:r w:rsidR="00AC602F">
          <w:t>71</w:t>
        </w:r>
        <w:r w:rsidR="00AC602F">
          <w:fldChar w:fldCharType="end"/>
        </w:r>
      </w:hyperlink>
    </w:p>
    <w:p w:rsidR="00AC602F" w:rsidRDefault="0050418C">
      <w:pPr>
        <w:pStyle w:val="TOC3"/>
        <w:rPr>
          <w:rFonts w:eastAsiaTheme="minorEastAsia"/>
          <w:smallCaps w:val="0"/>
          <w:sz w:val="22"/>
          <w:lang w:eastAsia="zh-TW"/>
        </w:rPr>
      </w:pPr>
      <w:hyperlink w:anchor="_Toc452110532" w:history="1">
        <w:r w:rsidR="00AC602F" w:rsidRPr="005F16D8">
          <w:rPr>
            <w:rStyle w:val="Hyperlink"/>
          </w:rPr>
          <w:t>Power BI Pro</w:t>
        </w:r>
        <w:r w:rsidR="00AC602F">
          <w:tab/>
        </w:r>
        <w:r w:rsidR="00AC602F">
          <w:fldChar w:fldCharType="begin"/>
        </w:r>
        <w:r w:rsidR="00AC602F">
          <w:instrText xml:space="preserve"> PAGEREF _Toc452110532 \h </w:instrText>
        </w:r>
        <w:r w:rsidR="00AC602F">
          <w:fldChar w:fldCharType="separate"/>
        </w:r>
        <w:r w:rsidR="00AC602F">
          <w:t>71</w:t>
        </w:r>
        <w:r w:rsidR="00AC602F">
          <w:fldChar w:fldCharType="end"/>
        </w:r>
      </w:hyperlink>
    </w:p>
    <w:p w:rsidR="00AC602F" w:rsidRDefault="0050418C">
      <w:pPr>
        <w:pStyle w:val="TOC3"/>
        <w:rPr>
          <w:rFonts w:eastAsiaTheme="minorEastAsia"/>
          <w:smallCaps w:val="0"/>
          <w:sz w:val="22"/>
          <w:lang w:eastAsia="zh-TW"/>
        </w:rPr>
      </w:pPr>
      <w:hyperlink w:anchor="_Toc452110533" w:history="1">
        <w:r w:rsidR="00AC602F" w:rsidRPr="005F16D8">
          <w:rPr>
            <w:rStyle w:val="Hyperlink"/>
          </w:rPr>
          <w:t>Yammer Enterprise</w:t>
        </w:r>
        <w:r w:rsidR="00AC602F">
          <w:tab/>
        </w:r>
        <w:r w:rsidR="00AC602F">
          <w:fldChar w:fldCharType="begin"/>
        </w:r>
        <w:r w:rsidR="00AC602F">
          <w:instrText xml:space="preserve"> PAGEREF _Toc452110533 \h </w:instrText>
        </w:r>
        <w:r w:rsidR="00AC602F">
          <w:fldChar w:fldCharType="separate"/>
        </w:r>
        <w:r w:rsidR="00AC602F">
          <w:t>72</w:t>
        </w:r>
        <w:r w:rsidR="00AC602F">
          <w:fldChar w:fldCharType="end"/>
        </w:r>
      </w:hyperlink>
    </w:p>
    <w:p w:rsidR="00AC602F" w:rsidRDefault="0050418C">
      <w:pPr>
        <w:pStyle w:val="TOC1"/>
        <w:rPr>
          <w:rFonts w:eastAsiaTheme="minorEastAsia"/>
          <w:b w:val="0"/>
          <w:caps w:val="0"/>
          <w:noProof/>
          <w:sz w:val="22"/>
          <w:szCs w:val="22"/>
          <w:lang w:eastAsia="zh-TW"/>
        </w:rPr>
      </w:pPr>
      <w:hyperlink w:anchor="_Toc452110534" w:history="1">
        <w:r w:rsidR="00AC602F" w:rsidRPr="005F16D8">
          <w:rPr>
            <w:rStyle w:val="Hyperlink"/>
            <w:noProof/>
          </w:rPr>
          <w:t>Glossário</w:t>
        </w:r>
        <w:r w:rsidR="00AC602F">
          <w:rPr>
            <w:noProof/>
          </w:rPr>
          <w:tab/>
        </w:r>
        <w:r w:rsidR="00AC602F">
          <w:rPr>
            <w:noProof/>
          </w:rPr>
          <w:fldChar w:fldCharType="begin"/>
        </w:r>
        <w:r w:rsidR="00AC602F">
          <w:rPr>
            <w:noProof/>
          </w:rPr>
          <w:instrText xml:space="preserve"> PAGEREF _Toc452110534 \h </w:instrText>
        </w:r>
        <w:r w:rsidR="00AC602F">
          <w:rPr>
            <w:noProof/>
          </w:rPr>
        </w:r>
        <w:r w:rsidR="00AC602F">
          <w:rPr>
            <w:noProof/>
          </w:rPr>
          <w:fldChar w:fldCharType="separate"/>
        </w:r>
        <w:r w:rsidR="00AC602F">
          <w:rPr>
            <w:noProof/>
          </w:rPr>
          <w:t>73</w:t>
        </w:r>
        <w:r w:rsidR="00AC602F">
          <w:rPr>
            <w:noProof/>
          </w:rPr>
          <w:fldChar w:fldCharType="end"/>
        </w:r>
      </w:hyperlink>
    </w:p>
    <w:p w:rsidR="00AC602F" w:rsidRDefault="0050418C">
      <w:pPr>
        <w:pStyle w:val="TOC2"/>
        <w:rPr>
          <w:rFonts w:eastAsiaTheme="minorEastAsia"/>
          <w:smallCaps w:val="0"/>
          <w:sz w:val="22"/>
          <w:lang w:eastAsia="zh-TW"/>
        </w:rPr>
      </w:pPr>
      <w:hyperlink w:anchor="_Toc452110535" w:history="1">
        <w:r w:rsidR="00AC602F" w:rsidRPr="005F16D8">
          <w:rPr>
            <w:rStyle w:val="Hyperlink"/>
          </w:rPr>
          <w:t>Atributos</w:t>
        </w:r>
        <w:r w:rsidR="00AC602F">
          <w:tab/>
        </w:r>
        <w:r w:rsidR="00AC602F">
          <w:fldChar w:fldCharType="begin"/>
        </w:r>
        <w:r w:rsidR="00AC602F">
          <w:instrText xml:space="preserve"> PAGEREF _Toc452110535 \h </w:instrText>
        </w:r>
        <w:r w:rsidR="00AC602F">
          <w:fldChar w:fldCharType="separate"/>
        </w:r>
        <w:r w:rsidR="00AC602F">
          <w:t>73</w:t>
        </w:r>
        <w:r w:rsidR="00AC602F">
          <w:fldChar w:fldCharType="end"/>
        </w:r>
      </w:hyperlink>
    </w:p>
    <w:p w:rsidR="00AC602F" w:rsidRDefault="0050418C">
      <w:pPr>
        <w:pStyle w:val="TOC2"/>
        <w:rPr>
          <w:rFonts w:eastAsiaTheme="minorEastAsia"/>
          <w:smallCaps w:val="0"/>
          <w:sz w:val="22"/>
          <w:lang w:eastAsia="zh-TW"/>
        </w:rPr>
      </w:pPr>
      <w:hyperlink w:anchor="_Toc452110536" w:history="1">
        <w:r w:rsidR="00AC602F" w:rsidRPr="005F16D8">
          <w:rPr>
            <w:rStyle w:val="Hyperlink"/>
          </w:rPr>
          <w:t>Valores das Células</w:t>
        </w:r>
        <w:r w:rsidR="00AC602F">
          <w:tab/>
        </w:r>
        <w:r w:rsidR="00AC602F">
          <w:fldChar w:fldCharType="begin"/>
        </w:r>
        <w:r w:rsidR="00AC602F">
          <w:instrText xml:space="preserve"> PAGEREF _Toc452110536 \h </w:instrText>
        </w:r>
        <w:r w:rsidR="00AC602F">
          <w:fldChar w:fldCharType="separate"/>
        </w:r>
        <w:r w:rsidR="00AC602F">
          <w:t>74</w:t>
        </w:r>
        <w:r w:rsidR="00AC602F">
          <w:fldChar w:fldCharType="end"/>
        </w:r>
      </w:hyperlink>
    </w:p>
    <w:p w:rsidR="00AC602F" w:rsidRDefault="0050418C">
      <w:pPr>
        <w:pStyle w:val="TOC2"/>
        <w:rPr>
          <w:rFonts w:eastAsiaTheme="minorEastAsia"/>
          <w:smallCaps w:val="0"/>
          <w:sz w:val="22"/>
          <w:lang w:eastAsia="zh-TW"/>
        </w:rPr>
      </w:pPr>
      <w:hyperlink w:anchor="_Toc452110537" w:history="1">
        <w:r w:rsidR="00AC602F" w:rsidRPr="005F16D8">
          <w:rPr>
            <w:rStyle w:val="Hyperlink"/>
          </w:rPr>
          <w:t>Títulos das Colunas</w:t>
        </w:r>
        <w:r w:rsidR="00AC602F">
          <w:tab/>
        </w:r>
        <w:r w:rsidR="00AC602F">
          <w:fldChar w:fldCharType="begin"/>
        </w:r>
        <w:r w:rsidR="00AC602F">
          <w:instrText xml:space="preserve"> PAGEREF _Toc452110537 \h </w:instrText>
        </w:r>
        <w:r w:rsidR="00AC602F">
          <w:fldChar w:fldCharType="separate"/>
        </w:r>
        <w:r w:rsidR="00AC602F">
          <w:t>75</w:t>
        </w:r>
        <w:r w:rsidR="00AC602F">
          <w:fldChar w:fldCharType="end"/>
        </w:r>
      </w:hyperlink>
    </w:p>
    <w:p w:rsidR="00AC602F" w:rsidRDefault="0050418C">
      <w:pPr>
        <w:pStyle w:val="TOC2"/>
        <w:rPr>
          <w:rFonts w:eastAsiaTheme="minorEastAsia"/>
          <w:smallCaps w:val="0"/>
          <w:sz w:val="22"/>
          <w:lang w:eastAsia="zh-TW"/>
        </w:rPr>
      </w:pPr>
      <w:hyperlink w:anchor="_Toc452110538" w:history="1">
        <w:r w:rsidR="00AC602F" w:rsidRPr="005F16D8">
          <w:rPr>
            <w:rStyle w:val="Hyperlink"/>
          </w:rPr>
          <w:t>Definições</w:t>
        </w:r>
        <w:r w:rsidR="00AC602F">
          <w:tab/>
        </w:r>
        <w:r w:rsidR="00AC602F">
          <w:fldChar w:fldCharType="begin"/>
        </w:r>
        <w:r w:rsidR="00AC602F">
          <w:instrText xml:space="preserve"> PAGEREF _Toc452110538 \h </w:instrText>
        </w:r>
        <w:r w:rsidR="00AC602F">
          <w:fldChar w:fldCharType="separate"/>
        </w:r>
        <w:r w:rsidR="00AC602F">
          <w:t>75</w:t>
        </w:r>
        <w:r w:rsidR="00AC602F">
          <w:fldChar w:fldCharType="end"/>
        </w:r>
      </w:hyperlink>
    </w:p>
    <w:p w:rsidR="00AC602F" w:rsidRDefault="0050418C">
      <w:pPr>
        <w:pStyle w:val="TOC1"/>
        <w:rPr>
          <w:rFonts w:eastAsiaTheme="minorEastAsia"/>
          <w:b w:val="0"/>
          <w:caps w:val="0"/>
          <w:noProof/>
          <w:sz w:val="22"/>
          <w:szCs w:val="22"/>
          <w:lang w:eastAsia="zh-TW"/>
        </w:rPr>
      </w:pPr>
      <w:hyperlink w:anchor="_Toc452110539" w:history="1">
        <w:r w:rsidR="00AC602F" w:rsidRPr="005F16D8">
          <w:rPr>
            <w:rStyle w:val="Hyperlink"/>
            <w:noProof/>
          </w:rPr>
          <w:t>Apêndice A – Licenças Equivalentes de CAL/ML</w:t>
        </w:r>
        <w:r w:rsidR="00AC602F">
          <w:rPr>
            <w:noProof/>
          </w:rPr>
          <w:tab/>
        </w:r>
        <w:r w:rsidR="00AC602F">
          <w:rPr>
            <w:noProof/>
          </w:rPr>
          <w:fldChar w:fldCharType="begin"/>
        </w:r>
        <w:r w:rsidR="00AC602F">
          <w:rPr>
            <w:noProof/>
          </w:rPr>
          <w:instrText xml:space="preserve"> PAGEREF _Toc452110539 \h </w:instrText>
        </w:r>
        <w:r w:rsidR="00AC602F">
          <w:rPr>
            <w:noProof/>
          </w:rPr>
        </w:r>
        <w:r w:rsidR="00AC602F">
          <w:rPr>
            <w:noProof/>
          </w:rPr>
          <w:fldChar w:fldCharType="separate"/>
        </w:r>
        <w:r w:rsidR="00AC602F">
          <w:rPr>
            <w:noProof/>
          </w:rPr>
          <w:t>78</w:t>
        </w:r>
        <w:r w:rsidR="00AC602F">
          <w:rPr>
            <w:noProof/>
          </w:rPr>
          <w:fldChar w:fldCharType="end"/>
        </w:r>
      </w:hyperlink>
    </w:p>
    <w:p w:rsidR="00AC602F" w:rsidRDefault="0050418C">
      <w:pPr>
        <w:pStyle w:val="TOC1"/>
        <w:rPr>
          <w:rFonts w:eastAsiaTheme="minorEastAsia"/>
          <w:b w:val="0"/>
          <w:caps w:val="0"/>
          <w:noProof/>
          <w:sz w:val="22"/>
          <w:szCs w:val="22"/>
          <w:lang w:eastAsia="zh-TW"/>
        </w:rPr>
      </w:pPr>
      <w:hyperlink w:anchor="_Toc452110540" w:history="1">
        <w:r w:rsidR="00AC602F" w:rsidRPr="005F16D8">
          <w:rPr>
            <w:rStyle w:val="Hyperlink"/>
            <w:noProof/>
          </w:rPr>
          <w:t>Apêndice B – Software Assurance</w:t>
        </w:r>
        <w:r w:rsidR="00AC602F">
          <w:rPr>
            <w:noProof/>
          </w:rPr>
          <w:tab/>
        </w:r>
        <w:r w:rsidR="00AC602F">
          <w:rPr>
            <w:noProof/>
          </w:rPr>
          <w:fldChar w:fldCharType="begin"/>
        </w:r>
        <w:r w:rsidR="00AC602F">
          <w:rPr>
            <w:noProof/>
          </w:rPr>
          <w:instrText xml:space="preserve"> PAGEREF _Toc452110540 \h </w:instrText>
        </w:r>
        <w:r w:rsidR="00AC602F">
          <w:rPr>
            <w:noProof/>
          </w:rPr>
        </w:r>
        <w:r w:rsidR="00AC602F">
          <w:rPr>
            <w:noProof/>
          </w:rPr>
          <w:fldChar w:fldCharType="separate"/>
        </w:r>
        <w:r w:rsidR="00AC602F">
          <w:rPr>
            <w:noProof/>
          </w:rPr>
          <w:t>79</w:t>
        </w:r>
        <w:r w:rsidR="00AC602F">
          <w:rPr>
            <w:noProof/>
          </w:rPr>
          <w:fldChar w:fldCharType="end"/>
        </w:r>
      </w:hyperlink>
    </w:p>
    <w:p w:rsidR="00AC602F" w:rsidRDefault="0050418C">
      <w:pPr>
        <w:pStyle w:val="TOC2"/>
        <w:rPr>
          <w:rFonts w:eastAsiaTheme="minorEastAsia"/>
          <w:smallCaps w:val="0"/>
          <w:sz w:val="22"/>
          <w:lang w:eastAsia="zh-TW"/>
        </w:rPr>
      </w:pPr>
      <w:hyperlink w:anchor="_Toc452110541" w:history="1">
        <w:r w:rsidR="00AC602F" w:rsidRPr="005F16D8">
          <w:rPr>
            <w:rStyle w:val="Hyperlink"/>
          </w:rPr>
          <w:t>Adquirir Software Assurance</w:t>
        </w:r>
        <w:r w:rsidR="00AC602F">
          <w:tab/>
        </w:r>
        <w:r w:rsidR="00AC602F">
          <w:fldChar w:fldCharType="begin"/>
        </w:r>
        <w:r w:rsidR="00AC602F">
          <w:instrText xml:space="preserve"> PAGEREF _Toc452110541 \h </w:instrText>
        </w:r>
        <w:r w:rsidR="00AC602F">
          <w:fldChar w:fldCharType="separate"/>
        </w:r>
        <w:r w:rsidR="00AC602F">
          <w:t>79</w:t>
        </w:r>
        <w:r w:rsidR="00AC602F">
          <w:fldChar w:fldCharType="end"/>
        </w:r>
      </w:hyperlink>
    </w:p>
    <w:p w:rsidR="00AC602F" w:rsidRDefault="0050418C">
      <w:pPr>
        <w:pStyle w:val="TOC2"/>
        <w:rPr>
          <w:rFonts w:eastAsiaTheme="minorEastAsia"/>
          <w:smallCaps w:val="0"/>
          <w:sz w:val="22"/>
          <w:lang w:eastAsia="zh-TW"/>
        </w:rPr>
      </w:pPr>
      <w:hyperlink w:anchor="_Toc452110542" w:history="1">
        <w:r w:rsidR="00AC602F" w:rsidRPr="005F16D8">
          <w:rPr>
            <w:rStyle w:val="Hyperlink"/>
          </w:rPr>
          <w:t>Renovar o Software Assurance</w:t>
        </w:r>
        <w:r w:rsidR="00AC602F">
          <w:tab/>
        </w:r>
        <w:r w:rsidR="00AC602F">
          <w:fldChar w:fldCharType="begin"/>
        </w:r>
        <w:r w:rsidR="00AC602F">
          <w:instrText xml:space="preserve"> PAGEREF _Toc452110542 \h </w:instrText>
        </w:r>
        <w:r w:rsidR="00AC602F">
          <w:fldChar w:fldCharType="separate"/>
        </w:r>
        <w:r w:rsidR="00AC602F">
          <w:t>79</w:t>
        </w:r>
        <w:r w:rsidR="00AC602F">
          <w:fldChar w:fldCharType="end"/>
        </w:r>
      </w:hyperlink>
    </w:p>
    <w:p w:rsidR="00AC602F" w:rsidRDefault="0050418C">
      <w:pPr>
        <w:pStyle w:val="TOC2"/>
        <w:rPr>
          <w:rFonts w:eastAsiaTheme="minorEastAsia"/>
          <w:smallCaps w:val="0"/>
          <w:sz w:val="22"/>
          <w:lang w:eastAsia="zh-TW"/>
        </w:rPr>
      </w:pPr>
      <w:hyperlink w:anchor="_Toc452110543" w:history="1">
        <w:r w:rsidR="00AC602F" w:rsidRPr="005F16D8">
          <w:rPr>
            <w:rStyle w:val="Hyperlink"/>
          </w:rPr>
          <w:t>Licença de Migração para Produtos Descontinuados ou em Fim de Vida Útil</w:t>
        </w:r>
        <w:r w:rsidR="00AC602F">
          <w:tab/>
        </w:r>
        <w:r w:rsidR="00AC602F">
          <w:fldChar w:fldCharType="begin"/>
        </w:r>
        <w:r w:rsidR="00AC602F">
          <w:instrText xml:space="preserve"> PAGEREF _Toc452110543 \h </w:instrText>
        </w:r>
        <w:r w:rsidR="00AC602F">
          <w:fldChar w:fldCharType="separate"/>
        </w:r>
        <w:r w:rsidR="00AC602F">
          <w:t>80</w:t>
        </w:r>
        <w:r w:rsidR="00AC602F">
          <w:fldChar w:fldCharType="end"/>
        </w:r>
      </w:hyperlink>
    </w:p>
    <w:p w:rsidR="00AC602F" w:rsidRDefault="0050418C">
      <w:pPr>
        <w:pStyle w:val="TOC2"/>
        <w:rPr>
          <w:rFonts w:eastAsiaTheme="minorEastAsia"/>
          <w:smallCaps w:val="0"/>
          <w:sz w:val="22"/>
          <w:lang w:eastAsia="zh-TW"/>
        </w:rPr>
      </w:pPr>
      <w:hyperlink w:anchor="_Toc452110544" w:history="1">
        <w:r w:rsidR="00AC602F" w:rsidRPr="005F16D8">
          <w:rPr>
            <w:rStyle w:val="Hyperlink"/>
          </w:rPr>
          <w:t>Benefícios de Software Assurance</w:t>
        </w:r>
        <w:r w:rsidR="00AC602F">
          <w:tab/>
        </w:r>
        <w:r w:rsidR="00AC602F">
          <w:fldChar w:fldCharType="begin"/>
        </w:r>
        <w:r w:rsidR="00AC602F">
          <w:instrText xml:space="preserve"> PAGEREF _Toc452110544 \h </w:instrText>
        </w:r>
        <w:r w:rsidR="00AC602F">
          <w:fldChar w:fldCharType="separate"/>
        </w:r>
        <w:r w:rsidR="00AC602F">
          <w:t>80</w:t>
        </w:r>
        <w:r w:rsidR="00AC602F">
          <w:fldChar w:fldCharType="end"/>
        </w:r>
      </w:hyperlink>
    </w:p>
    <w:p w:rsidR="00AC602F" w:rsidRDefault="0050418C">
      <w:pPr>
        <w:pStyle w:val="TOC1"/>
        <w:rPr>
          <w:rFonts w:eastAsiaTheme="minorEastAsia"/>
          <w:b w:val="0"/>
          <w:caps w:val="0"/>
          <w:noProof/>
          <w:sz w:val="22"/>
          <w:szCs w:val="22"/>
          <w:lang w:eastAsia="zh-TW"/>
        </w:rPr>
      </w:pPr>
      <w:hyperlink w:anchor="_Toc452110545" w:history="1">
        <w:r w:rsidR="00AC602F" w:rsidRPr="005F16D8">
          <w:rPr>
            <w:rStyle w:val="Hyperlink"/>
            <w:noProof/>
          </w:rPr>
          <w:t>Apêndice C – Serviços Profissionais</w:t>
        </w:r>
        <w:r w:rsidR="00AC602F">
          <w:rPr>
            <w:noProof/>
          </w:rPr>
          <w:tab/>
        </w:r>
        <w:r w:rsidR="00AC602F">
          <w:rPr>
            <w:noProof/>
          </w:rPr>
          <w:fldChar w:fldCharType="begin"/>
        </w:r>
        <w:r w:rsidR="00AC602F">
          <w:rPr>
            <w:noProof/>
          </w:rPr>
          <w:instrText xml:space="preserve"> PAGEREF _Toc452110545 \h </w:instrText>
        </w:r>
        <w:r w:rsidR="00AC602F">
          <w:rPr>
            <w:noProof/>
          </w:rPr>
        </w:r>
        <w:r w:rsidR="00AC602F">
          <w:rPr>
            <w:noProof/>
          </w:rPr>
          <w:fldChar w:fldCharType="separate"/>
        </w:r>
        <w:r w:rsidR="00AC602F">
          <w:rPr>
            <w:noProof/>
          </w:rPr>
          <w:t>91</w:t>
        </w:r>
        <w:r w:rsidR="00AC602F">
          <w:rPr>
            <w:noProof/>
          </w:rPr>
          <w:fldChar w:fldCharType="end"/>
        </w:r>
      </w:hyperlink>
    </w:p>
    <w:p w:rsidR="00AC602F" w:rsidRDefault="0050418C">
      <w:pPr>
        <w:pStyle w:val="TOC2"/>
        <w:rPr>
          <w:rFonts w:eastAsiaTheme="minorEastAsia"/>
          <w:smallCaps w:val="0"/>
          <w:sz w:val="22"/>
          <w:lang w:eastAsia="zh-TW"/>
        </w:rPr>
      </w:pPr>
      <w:hyperlink w:anchor="_Toc452110546" w:history="1">
        <w:r w:rsidR="00AC602F" w:rsidRPr="005F16D8">
          <w:rPr>
            <w:rStyle w:val="Hyperlink"/>
          </w:rPr>
          <w:t>Ofertas de Suporte Microsoft Premier</w:t>
        </w:r>
        <w:r w:rsidR="00AC602F">
          <w:tab/>
        </w:r>
        <w:r w:rsidR="00AC602F">
          <w:fldChar w:fldCharType="begin"/>
        </w:r>
        <w:r w:rsidR="00AC602F">
          <w:instrText xml:space="preserve"> PAGEREF _Toc452110546 \h </w:instrText>
        </w:r>
        <w:r w:rsidR="00AC602F">
          <w:fldChar w:fldCharType="separate"/>
        </w:r>
        <w:r w:rsidR="00AC602F">
          <w:t>91</w:t>
        </w:r>
        <w:r w:rsidR="00AC602F">
          <w:fldChar w:fldCharType="end"/>
        </w:r>
      </w:hyperlink>
    </w:p>
    <w:p w:rsidR="00AC602F" w:rsidRDefault="0050418C">
      <w:pPr>
        <w:pStyle w:val="TOC2"/>
        <w:rPr>
          <w:rFonts w:eastAsiaTheme="minorEastAsia"/>
          <w:smallCaps w:val="0"/>
          <w:sz w:val="22"/>
          <w:lang w:eastAsia="zh-TW"/>
        </w:rPr>
      </w:pPr>
      <w:hyperlink w:anchor="_Toc452110547" w:history="1">
        <w:r w:rsidR="00AC602F" w:rsidRPr="005F16D8">
          <w:rPr>
            <w:rStyle w:val="Hyperlink"/>
          </w:rPr>
          <w:t>Ofertas do Programa de Estratégia Empresarial da Microsoft</w:t>
        </w:r>
        <w:r w:rsidR="00AC602F">
          <w:tab/>
        </w:r>
        <w:r w:rsidR="00AC602F">
          <w:fldChar w:fldCharType="begin"/>
        </w:r>
        <w:r w:rsidR="00AC602F">
          <w:instrText xml:space="preserve"> PAGEREF _Toc452110547 \h </w:instrText>
        </w:r>
        <w:r w:rsidR="00AC602F">
          <w:fldChar w:fldCharType="separate"/>
        </w:r>
        <w:r w:rsidR="00AC602F">
          <w:t>92</w:t>
        </w:r>
        <w:r w:rsidR="00AC602F">
          <w:fldChar w:fldCharType="end"/>
        </w:r>
      </w:hyperlink>
    </w:p>
    <w:p w:rsidR="00AC602F" w:rsidRDefault="0050418C">
      <w:pPr>
        <w:pStyle w:val="TOC2"/>
        <w:rPr>
          <w:rFonts w:eastAsiaTheme="minorEastAsia"/>
          <w:smallCaps w:val="0"/>
          <w:sz w:val="22"/>
          <w:lang w:eastAsia="zh-TW"/>
        </w:rPr>
      </w:pPr>
      <w:hyperlink w:anchor="_Toc452110548" w:history="1">
        <w:r w:rsidR="00AC602F" w:rsidRPr="005F16D8">
          <w:rPr>
            <w:rStyle w:val="Hyperlink"/>
          </w:rPr>
          <w:t>Ofertas de Acelerador de Produtividade de Vendas</w:t>
        </w:r>
        <w:r w:rsidR="00AC602F">
          <w:tab/>
        </w:r>
        <w:r w:rsidR="00AC602F">
          <w:fldChar w:fldCharType="begin"/>
        </w:r>
        <w:r w:rsidR="00AC602F">
          <w:instrText xml:space="preserve"> PAGEREF _Toc452110548 \h </w:instrText>
        </w:r>
        <w:r w:rsidR="00AC602F">
          <w:fldChar w:fldCharType="separate"/>
        </w:r>
        <w:r w:rsidR="00AC602F">
          <w:t>92</w:t>
        </w:r>
        <w:r w:rsidR="00AC602F">
          <w:fldChar w:fldCharType="end"/>
        </w:r>
      </w:hyperlink>
    </w:p>
    <w:p w:rsidR="00AC602F" w:rsidRDefault="0050418C">
      <w:pPr>
        <w:pStyle w:val="TOC1"/>
        <w:rPr>
          <w:rFonts w:eastAsiaTheme="minorEastAsia"/>
          <w:b w:val="0"/>
          <w:caps w:val="0"/>
          <w:noProof/>
          <w:sz w:val="22"/>
          <w:szCs w:val="22"/>
          <w:lang w:eastAsia="zh-TW"/>
        </w:rPr>
      </w:pPr>
      <w:hyperlink w:anchor="_Toc452110549" w:history="1">
        <w:r w:rsidR="00AC602F" w:rsidRPr="005F16D8">
          <w:rPr>
            <w:rStyle w:val="Hyperlink"/>
            <w:noProof/>
          </w:rPr>
          <w:t>Apêndice D – Termos Suplementares do Contrato do Programa</w:t>
        </w:r>
        <w:r w:rsidR="00AC602F">
          <w:rPr>
            <w:noProof/>
          </w:rPr>
          <w:tab/>
        </w:r>
        <w:r w:rsidR="00AC602F">
          <w:rPr>
            <w:noProof/>
          </w:rPr>
          <w:fldChar w:fldCharType="begin"/>
        </w:r>
        <w:r w:rsidR="00AC602F">
          <w:rPr>
            <w:noProof/>
          </w:rPr>
          <w:instrText xml:space="preserve"> PAGEREF _Toc452110549 \h </w:instrText>
        </w:r>
        <w:r w:rsidR="00AC602F">
          <w:rPr>
            <w:noProof/>
          </w:rPr>
        </w:r>
        <w:r w:rsidR="00AC602F">
          <w:rPr>
            <w:noProof/>
          </w:rPr>
          <w:fldChar w:fldCharType="separate"/>
        </w:r>
        <w:r w:rsidR="00AC602F">
          <w:rPr>
            <w:noProof/>
          </w:rPr>
          <w:t>94</w:t>
        </w:r>
        <w:r w:rsidR="00AC602F">
          <w:rPr>
            <w:noProof/>
          </w:rPr>
          <w:fldChar w:fldCharType="end"/>
        </w:r>
      </w:hyperlink>
    </w:p>
    <w:p w:rsidR="00AC602F" w:rsidRDefault="0050418C">
      <w:pPr>
        <w:pStyle w:val="TOC2"/>
        <w:rPr>
          <w:rFonts w:eastAsiaTheme="minorEastAsia"/>
          <w:smallCaps w:val="0"/>
          <w:sz w:val="22"/>
          <w:lang w:eastAsia="zh-TW"/>
        </w:rPr>
      </w:pPr>
      <w:hyperlink w:anchor="_Toc452110550" w:history="1">
        <w:r w:rsidR="00AC602F" w:rsidRPr="005F16D8">
          <w:rPr>
            <w:rStyle w:val="Hyperlink"/>
          </w:rPr>
          <w:t>Termos Suplementares para o Programa Select Plus</w:t>
        </w:r>
        <w:r w:rsidR="00AC602F">
          <w:tab/>
        </w:r>
        <w:r w:rsidR="00AC602F">
          <w:fldChar w:fldCharType="begin"/>
        </w:r>
        <w:r w:rsidR="00AC602F">
          <w:instrText xml:space="preserve"> PAGEREF _Toc452110550 \h </w:instrText>
        </w:r>
        <w:r w:rsidR="00AC602F">
          <w:fldChar w:fldCharType="separate"/>
        </w:r>
        <w:r w:rsidR="00AC602F">
          <w:t>94</w:t>
        </w:r>
        <w:r w:rsidR="00AC602F">
          <w:fldChar w:fldCharType="end"/>
        </w:r>
      </w:hyperlink>
    </w:p>
    <w:p w:rsidR="00AC602F" w:rsidRDefault="0050418C">
      <w:pPr>
        <w:pStyle w:val="TOC2"/>
        <w:rPr>
          <w:rFonts w:eastAsiaTheme="minorEastAsia"/>
          <w:smallCaps w:val="0"/>
          <w:sz w:val="22"/>
          <w:lang w:eastAsia="zh-TW"/>
        </w:rPr>
      </w:pPr>
      <w:hyperlink w:anchor="_Toc452110551" w:history="1">
        <w:r w:rsidR="00AC602F" w:rsidRPr="005F16D8">
          <w:rPr>
            <w:rStyle w:val="Hyperlink"/>
          </w:rPr>
          <w:t>Definição de Gestão de Dispositivos Qualificados</w:t>
        </w:r>
        <w:r w:rsidR="00AC602F">
          <w:tab/>
        </w:r>
        <w:r w:rsidR="00AC602F">
          <w:fldChar w:fldCharType="begin"/>
        </w:r>
        <w:r w:rsidR="00AC602F">
          <w:instrText xml:space="preserve"> PAGEREF _Toc452110551 \h </w:instrText>
        </w:r>
        <w:r w:rsidR="00AC602F">
          <w:fldChar w:fldCharType="separate"/>
        </w:r>
        <w:r w:rsidR="00AC602F">
          <w:t>94</w:t>
        </w:r>
        <w:r w:rsidR="00AC602F">
          <w:fldChar w:fldCharType="end"/>
        </w:r>
      </w:hyperlink>
    </w:p>
    <w:p w:rsidR="00AC602F" w:rsidRDefault="0050418C">
      <w:pPr>
        <w:pStyle w:val="TOC2"/>
        <w:rPr>
          <w:rFonts w:eastAsiaTheme="minorEastAsia"/>
          <w:smallCaps w:val="0"/>
          <w:sz w:val="22"/>
          <w:lang w:eastAsia="zh-TW"/>
        </w:rPr>
      </w:pPr>
      <w:hyperlink w:anchor="_Toc452110552" w:history="1">
        <w:r w:rsidR="00AC602F" w:rsidRPr="005F16D8">
          <w:rPr>
            <w:rStyle w:val="Hyperlink"/>
          </w:rPr>
          <w:t>Serviços Online nos Programas Open</w:t>
        </w:r>
        <w:r w:rsidR="00AC602F">
          <w:tab/>
        </w:r>
        <w:r w:rsidR="00AC602F">
          <w:fldChar w:fldCharType="begin"/>
        </w:r>
        <w:r w:rsidR="00AC602F">
          <w:instrText xml:space="preserve"> PAGEREF _Toc452110552 \h </w:instrText>
        </w:r>
        <w:r w:rsidR="00AC602F">
          <w:fldChar w:fldCharType="separate"/>
        </w:r>
        <w:r w:rsidR="00AC602F">
          <w:t>94</w:t>
        </w:r>
        <w:r w:rsidR="00AC602F">
          <w:fldChar w:fldCharType="end"/>
        </w:r>
      </w:hyperlink>
    </w:p>
    <w:p w:rsidR="00AC602F" w:rsidRDefault="0050418C">
      <w:pPr>
        <w:pStyle w:val="TOC2"/>
        <w:rPr>
          <w:rFonts w:eastAsiaTheme="minorEastAsia"/>
          <w:smallCaps w:val="0"/>
          <w:sz w:val="22"/>
          <w:lang w:eastAsia="zh-TW"/>
        </w:rPr>
      </w:pPr>
      <w:hyperlink w:anchor="_Toc452110553" w:history="1">
        <w:r w:rsidR="00AC602F" w:rsidRPr="005F16D8">
          <w:rPr>
            <w:rStyle w:val="Hyperlink"/>
          </w:rPr>
          <w:t>Termos Suplementares para Serviços Profissionais – Contratos Legados</w:t>
        </w:r>
        <w:r w:rsidR="00AC602F">
          <w:tab/>
        </w:r>
        <w:r w:rsidR="00AC602F">
          <w:fldChar w:fldCharType="begin"/>
        </w:r>
        <w:r w:rsidR="00AC602F">
          <w:instrText xml:space="preserve"> PAGEREF _Toc452110553 \h </w:instrText>
        </w:r>
        <w:r w:rsidR="00AC602F">
          <w:fldChar w:fldCharType="separate"/>
        </w:r>
        <w:r w:rsidR="00AC602F">
          <w:t>94</w:t>
        </w:r>
        <w:r w:rsidR="00AC602F">
          <w:fldChar w:fldCharType="end"/>
        </w:r>
      </w:hyperlink>
    </w:p>
    <w:p w:rsidR="00AC602F" w:rsidRDefault="0050418C">
      <w:pPr>
        <w:pStyle w:val="TOC1"/>
        <w:rPr>
          <w:rFonts w:eastAsiaTheme="minorEastAsia"/>
          <w:b w:val="0"/>
          <w:caps w:val="0"/>
          <w:noProof/>
          <w:sz w:val="22"/>
          <w:szCs w:val="22"/>
          <w:lang w:eastAsia="zh-TW"/>
        </w:rPr>
      </w:pPr>
      <w:hyperlink w:anchor="_Toc452110554" w:history="1">
        <w:r w:rsidR="00AC602F" w:rsidRPr="005F16D8">
          <w:rPr>
            <w:rStyle w:val="Hyperlink"/>
            <w:noProof/>
          </w:rPr>
          <w:t>Apêndice E – Promoções</w:t>
        </w:r>
        <w:r w:rsidR="00AC602F">
          <w:rPr>
            <w:noProof/>
          </w:rPr>
          <w:tab/>
        </w:r>
        <w:r w:rsidR="00AC602F">
          <w:rPr>
            <w:noProof/>
          </w:rPr>
          <w:fldChar w:fldCharType="begin"/>
        </w:r>
        <w:r w:rsidR="00AC602F">
          <w:rPr>
            <w:noProof/>
          </w:rPr>
          <w:instrText xml:space="preserve"> PAGEREF _Toc452110554 \h </w:instrText>
        </w:r>
        <w:r w:rsidR="00AC602F">
          <w:rPr>
            <w:noProof/>
          </w:rPr>
        </w:r>
        <w:r w:rsidR="00AC602F">
          <w:rPr>
            <w:noProof/>
          </w:rPr>
          <w:fldChar w:fldCharType="separate"/>
        </w:r>
        <w:r w:rsidR="00AC602F">
          <w:rPr>
            <w:noProof/>
          </w:rPr>
          <w:t>96</w:t>
        </w:r>
        <w:r w:rsidR="00AC602F">
          <w:rPr>
            <w:noProof/>
          </w:rPr>
          <w:fldChar w:fldCharType="end"/>
        </w:r>
      </w:hyperlink>
    </w:p>
    <w:p w:rsidR="00AC602F" w:rsidRDefault="0050418C">
      <w:pPr>
        <w:pStyle w:val="TOC2"/>
        <w:rPr>
          <w:rFonts w:eastAsiaTheme="minorEastAsia"/>
          <w:smallCaps w:val="0"/>
          <w:sz w:val="22"/>
          <w:lang w:eastAsia="zh-TW"/>
        </w:rPr>
      </w:pPr>
      <w:hyperlink w:anchor="_Toc452110555" w:history="1">
        <w:r w:rsidR="00AC602F" w:rsidRPr="005F16D8">
          <w:rPr>
            <w:rStyle w:val="Hyperlink"/>
          </w:rPr>
          <w:t>Promoção do System Center Client Management Suite</w:t>
        </w:r>
        <w:r w:rsidR="00AC602F">
          <w:tab/>
        </w:r>
        <w:r w:rsidR="00AC602F">
          <w:fldChar w:fldCharType="begin"/>
        </w:r>
        <w:r w:rsidR="00AC602F">
          <w:instrText xml:space="preserve"> PAGEREF _Toc452110555 \h </w:instrText>
        </w:r>
        <w:r w:rsidR="00AC602F">
          <w:fldChar w:fldCharType="separate"/>
        </w:r>
        <w:r w:rsidR="00AC602F">
          <w:t>96</w:t>
        </w:r>
        <w:r w:rsidR="00AC602F">
          <w:fldChar w:fldCharType="end"/>
        </w:r>
      </w:hyperlink>
    </w:p>
    <w:p w:rsidR="00AC602F" w:rsidRDefault="0050418C">
      <w:pPr>
        <w:pStyle w:val="TOC2"/>
        <w:rPr>
          <w:rFonts w:eastAsiaTheme="minorEastAsia"/>
          <w:smallCaps w:val="0"/>
          <w:sz w:val="22"/>
          <w:lang w:eastAsia="zh-TW"/>
        </w:rPr>
      </w:pPr>
      <w:hyperlink w:anchor="_Toc452110556" w:history="1">
        <w:r w:rsidR="00AC602F" w:rsidRPr="005F16D8">
          <w:rPr>
            <w:rStyle w:val="Hyperlink"/>
          </w:rPr>
          <w:t>Promoção Azure Compute Capacity:</w:t>
        </w:r>
        <w:r w:rsidR="00AC602F">
          <w:tab/>
        </w:r>
        <w:r w:rsidR="00AC602F">
          <w:fldChar w:fldCharType="begin"/>
        </w:r>
        <w:r w:rsidR="00AC602F">
          <w:instrText xml:space="preserve"> PAGEREF _Toc452110556 \h </w:instrText>
        </w:r>
        <w:r w:rsidR="00AC602F">
          <w:fldChar w:fldCharType="separate"/>
        </w:r>
        <w:r w:rsidR="00AC602F">
          <w:t>96</w:t>
        </w:r>
        <w:r w:rsidR="00AC602F">
          <w:fldChar w:fldCharType="end"/>
        </w:r>
      </w:hyperlink>
    </w:p>
    <w:p w:rsidR="00AC602F" w:rsidRDefault="0050418C">
      <w:pPr>
        <w:pStyle w:val="TOC2"/>
        <w:rPr>
          <w:rFonts w:eastAsiaTheme="minorEastAsia"/>
          <w:smallCaps w:val="0"/>
          <w:sz w:val="22"/>
          <w:lang w:eastAsia="zh-TW"/>
        </w:rPr>
      </w:pPr>
      <w:hyperlink w:anchor="_Toc452110557" w:history="1">
        <w:r w:rsidR="00AC602F" w:rsidRPr="005F16D8">
          <w:rPr>
            <w:rStyle w:val="Hyperlink"/>
          </w:rPr>
          <w:t>Promoção Azure Consumption Incentive</w:t>
        </w:r>
        <w:r w:rsidR="00AC602F">
          <w:tab/>
        </w:r>
        <w:r w:rsidR="00AC602F">
          <w:fldChar w:fldCharType="begin"/>
        </w:r>
        <w:r w:rsidR="00AC602F">
          <w:instrText xml:space="preserve"> PAGEREF _Toc452110557 \h </w:instrText>
        </w:r>
        <w:r w:rsidR="00AC602F">
          <w:fldChar w:fldCharType="separate"/>
        </w:r>
        <w:r w:rsidR="00AC602F">
          <w:t>96</w:t>
        </w:r>
        <w:r w:rsidR="00AC602F">
          <w:fldChar w:fldCharType="end"/>
        </w:r>
      </w:hyperlink>
    </w:p>
    <w:p w:rsidR="00AC602F" w:rsidRDefault="0050418C">
      <w:pPr>
        <w:pStyle w:val="TOC2"/>
        <w:rPr>
          <w:rFonts w:eastAsiaTheme="minorEastAsia"/>
          <w:smallCaps w:val="0"/>
          <w:sz w:val="22"/>
          <w:lang w:eastAsia="zh-TW"/>
        </w:rPr>
      </w:pPr>
      <w:hyperlink w:anchor="_Toc452110558" w:history="1">
        <w:r w:rsidR="00AC602F" w:rsidRPr="005F16D8">
          <w:rPr>
            <w:rStyle w:val="Hyperlink"/>
          </w:rPr>
          <w:t>Promoção Renewal/Mid-term Azure Credit</w:t>
        </w:r>
        <w:r w:rsidR="00AC602F">
          <w:tab/>
        </w:r>
        <w:r w:rsidR="00AC602F">
          <w:fldChar w:fldCharType="begin"/>
        </w:r>
        <w:r w:rsidR="00AC602F">
          <w:instrText xml:space="preserve"> PAGEREF _Toc452110558 \h </w:instrText>
        </w:r>
        <w:r w:rsidR="00AC602F">
          <w:fldChar w:fldCharType="separate"/>
        </w:r>
        <w:r w:rsidR="00AC602F">
          <w:t>96</w:t>
        </w:r>
        <w:r w:rsidR="00AC602F">
          <w:fldChar w:fldCharType="end"/>
        </w:r>
      </w:hyperlink>
    </w:p>
    <w:p w:rsidR="00AC602F" w:rsidRDefault="0050418C">
      <w:pPr>
        <w:pStyle w:val="TOC2"/>
        <w:rPr>
          <w:rFonts w:eastAsiaTheme="minorEastAsia"/>
          <w:smallCaps w:val="0"/>
          <w:sz w:val="22"/>
          <w:lang w:eastAsia="zh-TW"/>
        </w:rPr>
      </w:pPr>
      <w:hyperlink w:anchor="_Toc452110559" w:history="1">
        <w:r w:rsidR="00AC602F" w:rsidRPr="005F16D8">
          <w:rPr>
            <w:rStyle w:val="Hyperlink"/>
          </w:rPr>
          <w:t>Promoção Worldwide Compute Pre-Purchase (MC híbrido+CPP)</w:t>
        </w:r>
        <w:r w:rsidR="00AC602F">
          <w:tab/>
        </w:r>
        <w:r w:rsidR="00AC602F">
          <w:fldChar w:fldCharType="begin"/>
        </w:r>
        <w:r w:rsidR="00AC602F">
          <w:instrText xml:space="preserve"> PAGEREF _Toc452110559 \h </w:instrText>
        </w:r>
        <w:r w:rsidR="00AC602F">
          <w:fldChar w:fldCharType="separate"/>
        </w:r>
        <w:r w:rsidR="00AC602F">
          <w:t>96</w:t>
        </w:r>
        <w:r w:rsidR="00AC602F">
          <w:fldChar w:fldCharType="end"/>
        </w:r>
      </w:hyperlink>
    </w:p>
    <w:p w:rsidR="00AC602F" w:rsidRDefault="0050418C">
      <w:pPr>
        <w:pStyle w:val="TOC1"/>
        <w:rPr>
          <w:rFonts w:eastAsiaTheme="minorEastAsia"/>
          <w:b w:val="0"/>
          <w:caps w:val="0"/>
          <w:noProof/>
          <w:sz w:val="22"/>
          <w:szCs w:val="22"/>
          <w:lang w:eastAsia="zh-TW"/>
        </w:rPr>
      </w:pPr>
      <w:hyperlink w:anchor="_Toc452110560" w:history="1">
        <w:r w:rsidR="00AC602F" w:rsidRPr="005F16D8">
          <w:rPr>
            <w:rStyle w:val="Hyperlink"/>
            <w:noProof/>
          </w:rPr>
          <w:t>Apêndice - Termos de Matriz de Armazenamento</w:t>
        </w:r>
        <w:r w:rsidR="00AC602F">
          <w:rPr>
            <w:noProof/>
          </w:rPr>
          <w:tab/>
        </w:r>
        <w:r w:rsidR="00AC602F">
          <w:rPr>
            <w:noProof/>
          </w:rPr>
          <w:fldChar w:fldCharType="begin"/>
        </w:r>
        <w:r w:rsidR="00AC602F">
          <w:rPr>
            <w:noProof/>
          </w:rPr>
          <w:instrText xml:space="preserve"> PAGEREF _Toc452110560 \h </w:instrText>
        </w:r>
        <w:r w:rsidR="00AC602F">
          <w:rPr>
            <w:noProof/>
          </w:rPr>
        </w:r>
        <w:r w:rsidR="00AC602F">
          <w:rPr>
            <w:noProof/>
          </w:rPr>
          <w:fldChar w:fldCharType="separate"/>
        </w:r>
        <w:r w:rsidR="00AC602F">
          <w:rPr>
            <w:noProof/>
          </w:rPr>
          <w:t>97</w:t>
        </w:r>
        <w:r w:rsidR="00AC602F">
          <w:rPr>
            <w:noProof/>
          </w:rPr>
          <w:fldChar w:fldCharType="end"/>
        </w:r>
      </w:hyperlink>
    </w:p>
    <w:p w:rsidR="00AC602F" w:rsidRDefault="0050418C">
      <w:pPr>
        <w:pStyle w:val="TOC2"/>
        <w:rPr>
          <w:rFonts w:eastAsiaTheme="minorEastAsia"/>
          <w:smallCaps w:val="0"/>
          <w:sz w:val="22"/>
          <w:lang w:eastAsia="zh-TW"/>
        </w:rPr>
      </w:pPr>
      <w:hyperlink w:anchor="_Toc452110561" w:history="1">
        <w:r w:rsidR="00AC602F" w:rsidRPr="005F16D8">
          <w:rPr>
            <w:rStyle w:val="Hyperlink"/>
          </w:rPr>
          <w:t>Disponibilidade</w:t>
        </w:r>
        <w:r w:rsidR="00AC602F">
          <w:tab/>
        </w:r>
        <w:r w:rsidR="00AC602F">
          <w:fldChar w:fldCharType="begin"/>
        </w:r>
        <w:r w:rsidR="00AC602F">
          <w:instrText xml:space="preserve"> PAGEREF _Toc452110561 \h </w:instrText>
        </w:r>
        <w:r w:rsidR="00AC602F">
          <w:fldChar w:fldCharType="separate"/>
        </w:r>
        <w:r w:rsidR="00AC602F">
          <w:t>97</w:t>
        </w:r>
        <w:r w:rsidR="00AC602F">
          <w:fldChar w:fldCharType="end"/>
        </w:r>
      </w:hyperlink>
    </w:p>
    <w:p w:rsidR="00AC602F" w:rsidRDefault="0050418C">
      <w:pPr>
        <w:pStyle w:val="TOC2"/>
        <w:rPr>
          <w:rFonts w:eastAsiaTheme="minorEastAsia"/>
          <w:smallCaps w:val="0"/>
          <w:sz w:val="22"/>
          <w:lang w:eastAsia="zh-TW"/>
        </w:rPr>
      </w:pPr>
      <w:hyperlink w:anchor="_Toc452110562" w:history="1">
        <w:r w:rsidR="00AC602F" w:rsidRPr="005F16D8">
          <w:rPr>
            <w:rStyle w:val="Hyperlink"/>
          </w:rPr>
          <w:t>Envio e Título</w:t>
        </w:r>
        <w:r w:rsidR="00AC602F">
          <w:tab/>
        </w:r>
        <w:r w:rsidR="00AC602F">
          <w:fldChar w:fldCharType="begin"/>
        </w:r>
        <w:r w:rsidR="00AC602F">
          <w:instrText xml:space="preserve"> PAGEREF _Toc452110562 \h </w:instrText>
        </w:r>
        <w:r w:rsidR="00AC602F">
          <w:fldChar w:fldCharType="separate"/>
        </w:r>
        <w:r w:rsidR="00AC602F">
          <w:t>97</w:t>
        </w:r>
        <w:r w:rsidR="00AC602F">
          <w:fldChar w:fldCharType="end"/>
        </w:r>
      </w:hyperlink>
    </w:p>
    <w:p w:rsidR="00AC602F" w:rsidRDefault="0050418C">
      <w:pPr>
        <w:pStyle w:val="TOC2"/>
        <w:rPr>
          <w:rFonts w:eastAsiaTheme="minorEastAsia"/>
          <w:smallCaps w:val="0"/>
          <w:sz w:val="22"/>
          <w:lang w:eastAsia="zh-TW"/>
        </w:rPr>
      </w:pPr>
      <w:hyperlink w:anchor="_Toc452110563" w:history="1">
        <w:r w:rsidR="00AC602F" w:rsidRPr="005F16D8">
          <w:rPr>
            <w:rStyle w:val="Hyperlink"/>
          </w:rPr>
          <w:t>Software de Matriz de Armazenamento</w:t>
        </w:r>
        <w:r w:rsidR="00AC602F">
          <w:tab/>
        </w:r>
        <w:r w:rsidR="00AC602F">
          <w:fldChar w:fldCharType="begin"/>
        </w:r>
        <w:r w:rsidR="00AC602F">
          <w:instrText xml:space="preserve"> PAGEREF _Toc452110563 \h </w:instrText>
        </w:r>
        <w:r w:rsidR="00AC602F">
          <w:fldChar w:fldCharType="separate"/>
        </w:r>
        <w:r w:rsidR="00AC602F">
          <w:t>97</w:t>
        </w:r>
        <w:r w:rsidR="00AC602F">
          <w:fldChar w:fldCharType="end"/>
        </w:r>
      </w:hyperlink>
    </w:p>
    <w:p w:rsidR="00AC602F" w:rsidRDefault="0050418C">
      <w:pPr>
        <w:pStyle w:val="TOC2"/>
        <w:rPr>
          <w:rFonts w:eastAsiaTheme="minorEastAsia"/>
          <w:smallCaps w:val="0"/>
          <w:sz w:val="22"/>
          <w:lang w:eastAsia="zh-TW"/>
        </w:rPr>
      </w:pPr>
      <w:hyperlink w:anchor="_Toc452110564" w:history="1">
        <w:r w:rsidR="00AC602F" w:rsidRPr="005F16D8">
          <w:rPr>
            <w:rStyle w:val="Hyperlink"/>
          </w:rPr>
          <w:t>Garantia de Hardware Limitada</w:t>
        </w:r>
        <w:r w:rsidR="00AC602F">
          <w:tab/>
        </w:r>
        <w:r w:rsidR="00AC602F">
          <w:fldChar w:fldCharType="begin"/>
        </w:r>
        <w:r w:rsidR="00AC602F">
          <w:instrText xml:space="preserve"> PAGEREF _Toc452110564 \h </w:instrText>
        </w:r>
        <w:r w:rsidR="00AC602F">
          <w:fldChar w:fldCharType="separate"/>
        </w:r>
        <w:r w:rsidR="00AC602F">
          <w:t>97</w:t>
        </w:r>
        <w:r w:rsidR="00AC602F">
          <w:fldChar w:fldCharType="end"/>
        </w:r>
      </w:hyperlink>
    </w:p>
    <w:p w:rsidR="00AC602F" w:rsidRDefault="0050418C">
      <w:pPr>
        <w:pStyle w:val="TOC2"/>
        <w:rPr>
          <w:rFonts w:eastAsiaTheme="minorEastAsia"/>
          <w:smallCaps w:val="0"/>
          <w:sz w:val="22"/>
          <w:lang w:eastAsia="zh-TW"/>
        </w:rPr>
      </w:pPr>
      <w:hyperlink w:anchor="_Toc452110565" w:history="1">
        <w:r w:rsidR="00AC602F" w:rsidRPr="005F16D8">
          <w:rPr>
            <w:rStyle w:val="Hyperlink"/>
          </w:rPr>
          <w:t>Indemnização. Defesa de ações judiciais por terceiros</w:t>
        </w:r>
        <w:r w:rsidR="00AC602F">
          <w:tab/>
        </w:r>
        <w:r w:rsidR="00AC602F">
          <w:fldChar w:fldCharType="begin"/>
        </w:r>
        <w:r w:rsidR="00AC602F">
          <w:instrText xml:space="preserve"> PAGEREF _Toc452110565 \h </w:instrText>
        </w:r>
        <w:r w:rsidR="00AC602F">
          <w:fldChar w:fldCharType="separate"/>
        </w:r>
        <w:r w:rsidR="00AC602F">
          <w:t>98</w:t>
        </w:r>
        <w:r w:rsidR="00AC602F">
          <w:fldChar w:fldCharType="end"/>
        </w:r>
      </w:hyperlink>
    </w:p>
    <w:p w:rsidR="00AC602F" w:rsidRDefault="0050418C">
      <w:pPr>
        <w:pStyle w:val="TOC2"/>
        <w:rPr>
          <w:rFonts w:eastAsiaTheme="minorEastAsia"/>
          <w:smallCaps w:val="0"/>
          <w:sz w:val="22"/>
          <w:lang w:eastAsia="zh-TW"/>
        </w:rPr>
      </w:pPr>
      <w:hyperlink w:anchor="_Toc452110566" w:history="1">
        <w:r w:rsidR="00AC602F" w:rsidRPr="005F16D8">
          <w:rPr>
            <w:rStyle w:val="Hyperlink"/>
          </w:rPr>
          <w:t>Limitação de Responsabilidade</w:t>
        </w:r>
        <w:r w:rsidR="00AC602F">
          <w:tab/>
        </w:r>
        <w:r w:rsidR="00AC602F">
          <w:fldChar w:fldCharType="begin"/>
        </w:r>
        <w:r w:rsidR="00AC602F">
          <w:instrText xml:space="preserve"> PAGEREF _Toc452110566 \h </w:instrText>
        </w:r>
        <w:r w:rsidR="00AC602F">
          <w:fldChar w:fldCharType="separate"/>
        </w:r>
        <w:r w:rsidR="00AC602F">
          <w:t>98</w:t>
        </w:r>
        <w:r w:rsidR="00AC602F">
          <w:fldChar w:fldCharType="end"/>
        </w:r>
      </w:hyperlink>
    </w:p>
    <w:p w:rsidR="00AC602F" w:rsidRDefault="0050418C">
      <w:pPr>
        <w:pStyle w:val="TOC2"/>
        <w:rPr>
          <w:rFonts w:eastAsiaTheme="minorEastAsia"/>
          <w:smallCaps w:val="0"/>
          <w:sz w:val="22"/>
          <w:lang w:eastAsia="zh-TW"/>
        </w:rPr>
      </w:pPr>
      <w:hyperlink w:anchor="_Toc452110567" w:history="1">
        <w:r w:rsidR="00AC602F" w:rsidRPr="005F16D8">
          <w:rPr>
            <w:rStyle w:val="Hyperlink"/>
          </w:rPr>
          <w:t>Leis de Controlo à Exportação dos EUA</w:t>
        </w:r>
        <w:r w:rsidR="00AC602F">
          <w:tab/>
        </w:r>
        <w:r w:rsidR="00AC602F">
          <w:fldChar w:fldCharType="begin"/>
        </w:r>
        <w:r w:rsidR="00AC602F">
          <w:instrText xml:space="preserve"> PAGEREF _Toc452110567 \h </w:instrText>
        </w:r>
        <w:r w:rsidR="00AC602F">
          <w:fldChar w:fldCharType="separate"/>
        </w:r>
        <w:r w:rsidR="00AC602F">
          <w:t>98</w:t>
        </w:r>
        <w:r w:rsidR="00AC602F">
          <w:fldChar w:fldCharType="end"/>
        </w:r>
      </w:hyperlink>
    </w:p>
    <w:p w:rsidR="00AC602F" w:rsidRDefault="0050418C">
      <w:pPr>
        <w:pStyle w:val="TOC2"/>
        <w:rPr>
          <w:rFonts w:eastAsiaTheme="minorEastAsia"/>
          <w:smallCaps w:val="0"/>
          <w:sz w:val="22"/>
          <w:lang w:eastAsia="zh-TW"/>
        </w:rPr>
      </w:pPr>
      <w:hyperlink w:anchor="_Toc452110568" w:history="1">
        <w:r w:rsidR="00AC602F" w:rsidRPr="005F16D8">
          <w:rPr>
            <w:rStyle w:val="Hyperlink"/>
          </w:rPr>
          <w:t>Recolha de Informações de Diagnóstico</w:t>
        </w:r>
        <w:r w:rsidR="00AC602F">
          <w:tab/>
        </w:r>
        <w:r w:rsidR="00AC602F">
          <w:fldChar w:fldCharType="begin"/>
        </w:r>
        <w:r w:rsidR="00AC602F">
          <w:instrText xml:space="preserve"> PAGEREF _Toc452110568 \h </w:instrText>
        </w:r>
        <w:r w:rsidR="00AC602F">
          <w:fldChar w:fldCharType="separate"/>
        </w:r>
        <w:r w:rsidR="00AC602F">
          <w:t>98</w:t>
        </w:r>
        <w:r w:rsidR="00AC602F">
          <w:fldChar w:fldCharType="end"/>
        </w:r>
      </w:hyperlink>
    </w:p>
    <w:p w:rsidR="00AC602F" w:rsidRDefault="0050418C">
      <w:pPr>
        <w:pStyle w:val="TOC2"/>
        <w:rPr>
          <w:rFonts w:eastAsiaTheme="minorEastAsia"/>
          <w:smallCaps w:val="0"/>
          <w:sz w:val="22"/>
          <w:lang w:eastAsia="zh-TW"/>
        </w:rPr>
      </w:pPr>
      <w:hyperlink w:anchor="_Toc452110569" w:history="1">
        <w:r w:rsidR="00AC602F" w:rsidRPr="005F16D8">
          <w:rPr>
            <w:rStyle w:val="Hyperlink"/>
          </w:rPr>
          <w:t>Utilização por parte do Governo</w:t>
        </w:r>
        <w:r w:rsidR="00AC602F">
          <w:tab/>
        </w:r>
        <w:r w:rsidR="00AC602F">
          <w:fldChar w:fldCharType="begin"/>
        </w:r>
        <w:r w:rsidR="00AC602F">
          <w:instrText xml:space="preserve"> PAGEREF _Toc452110569 \h </w:instrText>
        </w:r>
        <w:r w:rsidR="00AC602F">
          <w:fldChar w:fldCharType="separate"/>
        </w:r>
        <w:r w:rsidR="00AC602F">
          <w:t>98</w:t>
        </w:r>
        <w:r w:rsidR="00AC602F">
          <w:fldChar w:fldCharType="end"/>
        </w:r>
      </w:hyperlink>
    </w:p>
    <w:p w:rsidR="00AC602F" w:rsidRDefault="0050418C">
      <w:pPr>
        <w:pStyle w:val="TOC1"/>
        <w:rPr>
          <w:rFonts w:eastAsiaTheme="minorEastAsia"/>
          <w:b w:val="0"/>
          <w:caps w:val="0"/>
          <w:noProof/>
          <w:sz w:val="22"/>
          <w:szCs w:val="22"/>
          <w:lang w:eastAsia="zh-TW"/>
        </w:rPr>
      </w:pPr>
      <w:hyperlink w:anchor="_Toc452110570" w:history="1">
        <w:r w:rsidR="00AC602F" w:rsidRPr="005F16D8">
          <w:rPr>
            <w:rStyle w:val="Hyperlink"/>
            <w:noProof/>
          </w:rPr>
          <w:t>Índice</w:t>
        </w:r>
        <w:r w:rsidR="00AC602F">
          <w:rPr>
            <w:noProof/>
          </w:rPr>
          <w:tab/>
        </w:r>
        <w:r w:rsidR="00AC602F">
          <w:rPr>
            <w:noProof/>
          </w:rPr>
          <w:fldChar w:fldCharType="begin"/>
        </w:r>
        <w:r w:rsidR="00AC602F">
          <w:rPr>
            <w:noProof/>
          </w:rPr>
          <w:instrText xml:space="preserve"> PAGEREF _Toc452110570 \h </w:instrText>
        </w:r>
        <w:r w:rsidR="00AC602F">
          <w:rPr>
            <w:noProof/>
          </w:rPr>
        </w:r>
        <w:r w:rsidR="00AC602F">
          <w:rPr>
            <w:noProof/>
          </w:rPr>
          <w:fldChar w:fldCharType="separate"/>
        </w:r>
        <w:r w:rsidR="00AC602F">
          <w:rPr>
            <w:noProof/>
          </w:rPr>
          <w:t>99</w:t>
        </w:r>
        <w:r w:rsidR="00AC602F">
          <w:rPr>
            <w:noProof/>
          </w:rPr>
          <w:fldChar w:fldCharType="end"/>
        </w:r>
      </w:hyperlink>
    </w:p>
    <w:p w:rsidR="00D87CDE" w:rsidRDefault="00AC602F">
      <w:pPr>
        <w:pStyle w:val="ProductList-Body"/>
        <w:sectPr w:rsidR="00D87CD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87CDE" w:rsidRDefault="00D87CDE">
      <w:pPr>
        <w:pStyle w:val="ProductList-Body"/>
      </w:pPr>
    </w:p>
    <w:p w:rsidR="00D87CDE" w:rsidRDefault="00D87CDE">
      <w:pPr>
        <w:sectPr w:rsidR="00D87CDE">
          <w:headerReference w:type="default" r:id="rId20"/>
          <w:footerReference w:type="default" r:id="rId21"/>
          <w:type w:val="continuous"/>
          <w:pgSz w:w="12240" w:h="15840" w:code="1"/>
          <w:pgMar w:top="1170" w:right="720" w:bottom="720" w:left="720" w:header="432" w:footer="288" w:gutter="0"/>
          <w:cols w:space="360"/>
        </w:sectPr>
      </w:pPr>
    </w:p>
    <w:p w:rsidR="00D87CDE" w:rsidRDefault="00AC602F">
      <w:pPr>
        <w:pStyle w:val="ProductList-SectionHeading"/>
        <w:pageBreakBefore/>
        <w:outlineLvl w:val="0"/>
      </w:pPr>
      <w:bookmarkStart w:id="1" w:name="_Sec531"/>
      <w:bookmarkEnd w:id="0"/>
      <w:r>
        <w:t>Introdução</w:t>
      </w:r>
      <w:r>
        <w:fldChar w:fldCharType="begin"/>
      </w:r>
      <w:r>
        <w:instrText xml:space="preserve"> TC "</w:instrText>
      </w:r>
      <w:bookmarkStart w:id="2" w:name="_Toc452110437"/>
      <w:r>
        <w:instrText>Introdução</w:instrText>
      </w:r>
      <w:bookmarkEnd w:id="2"/>
      <w:r>
        <w:instrText>" \l 1</w:instrText>
      </w:r>
      <w:r>
        <w:fldChar w:fldCharType="end"/>
      </w:r>
    </w:p>
    <w:p w:rsidR="00D87CDE" w:rsidRDefault="00D87CDE">
      <w:pPr>
        <w:pStyle w:val="ProductList-Body"/>
      </w:pPr>
    </w:p>
    <w:p w:rsidR="00D87CDE" w:rsidRDefault="00AC602F">
      <w:pPr>
        <w:pStyle w:val="ProductList-Offering1Heading"/>
        <w:outlineLvl w:val="1"/>
      </w:pPr>
      <w:bookmarkStart w:id="3" w:name="_Sec532"/>
      <w:r>
        <w:t>Acerca deste Documento</w:t>
      </w:r>
      <w:bookmarkEnd w:id="3"/>
      <w:r>
        <w:fldChar w:fldCharType="begin"/>
      </w:r>
      <w:r>
        <w:instrText xml:space="preserve"> TC "</w:instrText>
      </w:r>
      <w:bookmarkStart w:id="4" w:name="_Toc452110438"/>
      <w:r>
        <w:instrText>Acerca deste Documento</w:instrText>
      </w:r>
      <w:bookmarkEnd w:id="4"/>
      <w:r>
        <w:instrText>" \l 2</w:instrText>
      </w:r>
      <w:r>
        <w:fldChar w:fldCharType="end"/>
      </w:r>
    </w:p>
    <w:p w:rsidR="00D87CDE" w:rsidRDefault="00AC602F">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rsidR="00D87CDE" w:rsidRDefault="00D87CDE">
      <w:pPr>
        <w:pStyle w:val="ProductList-Body"/>
      </w:pPr>
    </w:p>
    <w:p w:rsidR="00D87CDE" w:rsidRDefault="00AC602F">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D87CDE" w:rsidRDefault="00AC602F">
      <w:pPr>
        <w:pStyle w:val="ProductList-Offering1Heading"/>
        <w:outlineLvl w:val="1"/>
      </w:pPr>
      <w:bookmarkStart w:id="5" w:name="_Sec533"/>
      <w:r>
        <w:t>Incluído Neste Documento</w:t>
      </w:r>
      <w:bookmarkEnd w:id="5"/>
      <w:r>
        <w:fldChar w:fldCharType="begin"/>
      </w:r>
      <w:r>
        <w:instrText xml:space="preserve"> TC "</w:instrText>
      </w:r>
      <w:bookmarkStart w:id="6" w:name="_Toc452110439"/>
      <w:r>
        <w:instrText>Incluído Neste Documento</w:instrText>
      </w:r>
      <w:bookmarkEnd w:id="6"/>
      <w:r>
        <w:instrText>" \l 2</w:instrText>
      </w:r>
      <w:r>
        <w:fldChar w:fldCharType="end"/>
      </w:r>
    </w:p>
    <w:p w:rsidR="00D87CDE" w:rsidRDefault="00AC602F">
      <w:pPr>
        <w:pStyle w:val="ProductList-Body"/>
      </w:pPr>
      <w:r>
        <w:t>Os Termos de Produto incluem as seguintes secções:</w:t>
      </w:r>
    </w:p>
    <w:p w:rsidR="00D87CDE" w:rsidRDefault="0050418C" w:rsidP="00AC602F">
      <w:pPr>
        <w:pStyle w:val="ProductList-Bullet"/>
        <w:numPr>
          <w:ilvl w:val="0"/>
          <w:numId w:val="3"/>
        </w:numPr>
      </w:pPr>
      <w:hyperlink w:anchor="_Sec531">
        <w:r w:rsidR="00AC602F">
          <w:rPr>
            <w:color w:val="00467F"/>
            <w:u w:val="single"/>
          </w:rPr>
          <w:t>Introdução</w:t>
        </w:r>
      </w:hyperlink>
      <w:r w:rsidR="00AC602F">
        <w:t xml:space="preserve">, que inclui uma lista de alterações recentes. </w:t>
      </w:r>
    </w:p>
    <w:p w:rsidR="00D87CDE" w:rsidRDefault="0050418C" w:rsidP="00AC602F">
      <w:pPr>
        <w:pStyle w:val="ProductList-Bullet"/>
        <w:numPr>
          <w:ilvl w:val="0"/>
          <w:numId w:val="3"/>
        </w:numPr>
      </w:pPr>
      <w:hyperlink w:anchor="_Sec536">
        <w:r w:rsidR="00AC602F">
          <w:rPr>
            <w:color w:val="00467F"/>
            <w:u w:val="single"/>
          </w:rPr>
          <w:t>Termos de Licenciamento</w:t>
        </w:r>
      </w:hyperlink>
      <w:r w:rsidR="00AC602F">
        <w:t xml:space="preserve">, que listam os Termos de Licenciamento Universal e os Termos de Modelo de Licenciamento que se aplicam aos Produtos de Software. </w:t>
      </w:r>
    </w:p>
    <w:p w:rsidR="00D87CDE" w:rsidRDefault="0050418C" w:rsidP="00AC602F">
      <w:pPr>
        <w:pStyle w:val="ProductList-Bullet"/>
        <w:numPr>
          <w:ilvl w:val="0"/>
          <w:numId w:val="3"/>
        </w:numPr>
      </w:pPr>
      <w:hyperlink w:anchor="_Sec547">
        <w:r w:rsidR="00AC602F">
          <w:rPr>
            <w:color w:val="00467F"/>
            <w:u w:val="single"/>
          </w:rPr>
          <w:t>Produtos de Software</w:t>
        </w:r>
      </w:hyperlink>
      <w:r w:rsidR="00AC602F">
        <w:t xml:space="preserve">, que listam todas as Entradas de Produto de Software. </w:t>
      </w:r>
    </w:p>
    <w:p w:rsidR="00D87CDE" w:rsidRDefault="0050418C" w:rsidP="00AC602F">
      <w:pPr>
        <w:pStyle w:val="ProductList-Bullet"/>
        <w:numPr>
          <w:ilvl w:val="0"/>
          <w:numId w:val="3"/>
        </w:numPr>
      </w:pPr>
      <w:hyperlink w:anchor="_Sec548">
        <w:r w:rsidR="00AC602F">
          <w:rPr>
            <w:color w:val="00467F"/>
            <w:u w:val="single"/>
          </w:rPr>
          <w:t>Produtos de Serviços Online</w:t>
        </w:r>
      </w:hyperlink>
      <w:r w:rsidR="00AC602F">
        <w:t xml:space="preserve">, que listam todas as Entradas de Produto de Serviços Online. </w:t>
      </w:r>
    </w:p>
    <w:p w:rsidR="00D87CDE" w:rsidRDefault="0050418C" w:rsidP="00AC602F">
      <w:pPr>
        <w:pStyle w:val="ProductList-Bullet"/>
        <w:numPr>
          <w:ilvl w:val="0"/>
          <w:numId w:val="3"/>
        </w:numPr>
      </w:pPr>
      <w:hyperlink w:anchor="_Sec549">
        <w:r w:rsidR="00AC602F">
          <w:rPr>
            <w:color w:val="00467F"/>
            <w:u w:val="single"/>
          </w:rPr>
          <w:t>Glossário</w:t>
        </w:r>
      </w:hyperlink>
      <w:r w:rsidR="00AC602F">
        <w:t xml:space="preserve">, que define os Atributos, os Valores das Células, os Títulos das Colunas e outros termos em maiúsculas utilizados nos Termos de Produto. </w:t>
      </w:r>
    </w:p>
    <w:p w:rsidR="00D87CDE" w:rsidRDefault="00AC602F" w:rsidP="00AC602F">
      <w:pPr>
        <w:pStyle w:val="ProductList-Bullet"/>
        <w:numPr>
          <w:ilvl w:val="0"/>
          <w:numId w:val="3"/>
        </w:numPr>
      </w:pPr>
      <w:r>
        <w:t xml:space="preserve">Os seguintes apêndices: </w:t>
      </w:r>
    </w:p>
    <w:p w:rsidR="00D87CDE" w:rsidRDefault="0050418C" w:rsidP="00AC602F">
      <w:pPr>
        <w:pStyle w:val="ProductList-Bullet"/>
        <w:numPr>
          <w:ilvl w:val="1"/>
          <w:numId w:val="3"/>
        </w:numPr>
      </w:pPr>
      <w:hyperlink w:anchor="_Sec591">
        <w:r w:rsidR="00AC602F">
          <w:rPr>
            <w:color w:val="00467F"/>
            <w:u w:val="single"/>
          </w:rPr>
          <w:t>Apêndice A – Tabela de Licenças Equivalentes de CAL/ML</w:t>
        </w:r>
      </w:hyperlink>
      <w:r w:rsidR="00AC602F">
        <w:t xml:space="preserve">, que identifica os CAL Suites e as Licenças de subscrição dos Serviços Online disponíveis que fornecem o acesso aos Produtos de Servidor. </w:t>
      </w:r>
    </w:p>
    <w:p w:rsidR="00D87CDE" w:rsidRDefault="0050418C" w:rsidP="00AC602F">
      <w:pPr>
        <w:pStyle w:val="ProductList-Bullet"/>
        <w:numPr>
          <w:ilvl w:val="1"/>
          <w:numId w:val="3"/>
        </w:numPr>
      </w:pPr>
      <w:hyperlink w:anchor="_Sec564">
        <w:r w:rsidR="00AC602F">
          <w:rPr>
            <w:color w:val="00467F"/>
            <w:u w:val="single"/>
          </w:rPr>
          <w:t>Apêndice B – Software Assurance</w:t>
        </w:r>
      </w:hyperlink>
      <w:r w:rsidR="00AC602F">
        <w:t xml:space="preserve">, que descreve as regras para a aquisição de SA e outros benefícios disponíveis para os clientes de SA. </w:t>
      </w:r>
    </w:p>
    <w:p w:rsidR="00D87CDE" w:rsidRDefault="0050418C" w:rsidP="00AC602F">
      <w:pPr>
        <w:pStyle w:val="ProductList-Bullet"/>
        <w:numPr>
          <w:ilvl w:val="1"/>
          <w:numId w:val="3"/>
        </w:numPr>
      </w:pPr>
      <w:hyperlink w:anchor="_Sec562">
        <w:r w:rsidR="00AC602F">
          <w:rPr>
            <w:color w:val="00467F"/>
            <w:u w:val="single"/>
          </w:rPr>
          <w:t>Apêndice C – Serviços Profissionais</w:t>
        </w:r>
      </w:hyperlink>
      <w:r w:rsidR="00AC602F">
        <w:t xml:space="preserve">, que lista os Serviços Profissionais oferecidos através do Licenciamento em Volume da Microsoft. </w:t>
      </w:r>
    </w:p>
    <w:p w:rsidR="00D87CDE" w:rsidRDefault="0050418C" w:rsidP="00AC602F">
      <w:pPr>
        <w:pStyle w:val="ProductList-Bullet"/>
        <w:numPr>
          <w:ilvl w:val="1"/>
          <w:numId w:val="3"/>
        </w:numPr>
      </w:pPr>
      <w:hyperlink w:anchor="_Sec563">
        <w:r w:rsidR="00AC602F">
          <w:rPr>
            <w:color w:val="00467F"/>
            <w:u w:val="single"/>
          </w:rPr>
          <w:t>Apêndice D – Termos Suplementares do Contrato do Programa</w:t>
        </w:r>
      </w:hyperlink>
      <w:r w:rsidR="00AC602F">
        <w:t xml:space="preserve">, que fornece termos adicionais para os Contratos do Programa de Licenciamento em Volume da Microsoft. </w:t>
      </w:r>
    </w:p>
    <w:p w:rsidR="00D87CDE" w:rsidRDefault="0050418C" w:rsidP="00AC602F">
      <w:pPr>
        <w:pStyle w:val="ProductList-Bullet"/>
        <w:numPr>
          <w:ilvl w:val="1"/>
          <w:numId w:val="3"/>
        </w:numPr>
      </w:pPr>
      <w:hyperlink w:anchor="_Sec572">
        <w:r w:rsidR="00AC602F">
          <w:rPr>
            <w:color w:val="00467F"/>
            <w:u w:val="single"/>
          </w:rPr>
          <w:t>Apêndice E – Promoções de Produto</w:t>
        </w:r>
      </w:hyperlink>
      <w:r w:rsidR="00AC602F">
        <w:t xml:space="preserve">, que lista as promoções de Produto que não se encontram de outro modo na Lista de Preços. </w:t>
      </w:r>
    </w:p>
    <w:p w:rsidR="00D87CDE" w:rsidRDefault="0050418C" w:rsidP="00AC602F">
      <w:pPr>
        <w:pStyle w:val="ProductList-Bullet"/>
        <w:numPr>
          <w:ilvl w:val="1"/>
          <w:numId w:val="3"/>
        </w:numPr>
      </w:pPr>
      <w:hyperlink w:anchor="_Sec899">
        <w:r w:rsidR="00AC602F">
          <w:rPr>
            <w:color w:val="00467F"/>
            <w:u w:val="single"/>
          </w:rPr>
          <w:t>Apêndice F - Termos de Matriz de Armazenamento</w:t>
        </w:r>
      </w:hyperlink>
      <w:r w:rsidR="00AC602F">
        <w:t>, que forneceu termos adicionais para os dispositivos de Matriz de Armazenamento.</w:t>
      </w:r>
    </w:p>
    <w:p w:rsidR="00D87CDE" w:rsidRDefault="0050418C" w:rsidP="00AC602F">
      <w:pPr>
        <w:pStyle w:val="ProductList-Bullet"/>
        <w:numPr>
          <w:ilvl w:val="0"/>
          <w:numId w:val="3"/>
        </w:numPr>
      </w:pPr>
      <w:hyperlink w:anchor="_Sec844">
        <w:r w:rsidR="00AC602F">
          <w:rPr>
            <w:color w:val="00467F"/>
            <w:u w:val="single"/>
          </w:rPr>
          <w:t>Índice Remissivo</w:t>
        </w:r>
      </w:hyperlink>
      <w:r w:rsidR="00AC602F">
        <w:t>, que lista todos os Produtos referenciados nos Termos de Produto e identifica onde se encontram.</w:t>
      </w:r>
    </w:p>
    <w:p w:rsidR="00D87CDE" w:rsidRDefault="00AC602F">
      <w:pPr>
        <w:pStyle w:val="ProductList-Offering1Heading"/>
        <w:outlineLvl w:val="1"/>
      </w:pPr>
      <w:bookmarkStart w:id="7" w:name="_Sec534"/>
      <w:r>
        <w:t>Como Navegar numa Entrada de Produto</w:t>
      </w:r>
      <w:bookmarkEnd w:id="7"/>
      <w:r>
        <w:fldChar w:fldCharType="begin"/>
      </w:r>
      <w:r>
        <w:instrText xml:space="preserve"> TC "</w:instrText>
      </w:r>
      <w:bookmarkStart w:id="8" w:name="_Toc452110440"/>
      <w:r>
        <w:instrText>Como Navegar numa Entrada de Produto</w:instrText>
      </w:r>
      <w:bookmarkEnd w:id="8"/>
      <w:r>
        <w:instrText>" \l 2</w:instrText>
      </w:r>
      <w:r>
        <w:fldChar w:fldCharType="end"/>
      </w:r>
    </w:p>
    <w:p w:rsidR="00D87CDE" w:rsidRDefault="00AC602F">
      <w:pPr>
        <w:pStyle w:val="ProductList-Body"/>
      </w:pPr>
      <w:r>
        <w:t>Cada Entrada de Produto de Software inclui quatro secções: Disponibilidade do Programa, Condições do Produto, Direitos de Utilização e Software Assurance.</w:t>
      </w:r>
    </w:p>
    <w:p w:rsidR="00D87CDE" w:rsidRDefault="00AC602F">
      <w:pPr>
        <w:pStyle w:val="ProductList-Body"/>
      </w:pPr>
      <w:r>
        <w:t>Cada Entrada de Produto de Serviços Online inclui duas secções: Disponibilidade do Programa e Condições do Produto.</w:t>
      </w:r>
    </w:p>
    <w:p w:rsidR="00D87CDE" w:rsidRDefault="00D87CDE">
      <w:pPr>
        <w:pStyle w:val="ProductList-Body"/>
      </w:pPr>
    </w:p>
    <w:p w:rsidR="00D87CDE" w:rsidRDefault="00AC602F">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D87CDE" w:rsidRDefault="00AC602F">
      <w:pPr>
        <w:pStyle w:val="ProductList-Body"/>
      </w:pPr>
      <w:r>
        <w:rPr>
          <w:noProof/>
          <w:lang w:eastAsia="zh-TW"/>
        </w:rPr>
        <w:drawing>
          <wp:inline distT="0" distB="0" distL="0" distR="0" wp14:anchorId="0F0E4C84" wp14:editId="329A1B40">
            <wp:extent cx="5029200" cy="838200"/>
            <wp:effectExtent l="0" t="0" r="0" b="0"/>
            <wp:docPr id="4"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5029200" cy="838200"/>
                    </a:xfrm>
                    <a:prstGeom prst="rect">
                      <a:avLst/>
                    </a:prstGeom>
                  </pic:spPr>
                </pic:pic>
              </a:graphicData>
            </a:graphic>
          </wp:inline>
        </w:drawing>
      </w:r>
    </w:p>
    <w:p w:rsidR="00D87CDE" w:rsidRDefault="00D87CDE">
      <w:pPr>
        <w:pStyle w:val="ProductList-Body"/>
      </w:pPr>
    </w:p>
    <w:p w:rsidR="00D87CDE" w:rsidRDefault="00AC602F">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D87CDE" w:rsidRDefault="00AC602F">
      <w:pPr>
        <w:pStyle w:val="ProductList-Body"/>
      </w:pPr>
      <w:r>
        <w:rPr>
          <w:noProof/>
          <w:lang w:eastAsia="zh-TW"/>
        </w:rPr>
        <w:drawing>
          <wp:inline distT="0" distB="0" distL="0" distR="0" wp14:anchorId="5D144209" wp14:editId="6D3640AA">
            <wp:extent cx="5029200" cy="1676400"/>
            <wp:effectExtent l="0" t="0" r="0" b="0"/>
            <wp:docPr id="2"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5029200" cy="1676400"/>
                    </a:xfrm>
                    <a:prstGeom prst="rect">
                      <a:avLst/>
                    </a:prstGeom>
                  </pic:spPr>
                </pic:pic>
              </a:graphicData>
            </a:graphic>
          </wp:inline>
        </w:drawing>
      </w:r>
    </w:p>
    <w:p w:rsidR="00D87CDE" w:rsidRDefault="00D87CDE">
      <w:pPr>
        <w:pStyle w:val="ProductList-Body"/>
      </w:pPr>
    </w:p>
    <w:p w:rsidR="00D87CDE" w:rsidRDefault="00AC602F">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D87CDE" w:rsidRDefault="00AC602F">
      <w:pPr>
        <w:pStyle w:val="ProductList-Body"/>
      </w:pPr>
      <w:r>
        <w:rPr>
          <w:noProof/>
          <w:lang w:eastAsia="zh-TW"/>
        </w:rPr>
        <w:drawing>
          <wp:inline distT="0" distB="0" distL="0" distR="0" wp14:anchorId="555B9B17" wp14:editId="36599966">
            <wp:extent cx="5029200" cy="1676400"/>
            <wp:effectExtent l="0" t="0" r="0" b="0"/>
            <wp:docPr id="3"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5029200" cy="1676400"/>
                    </a:xfrm>
                    <a:prstGeom prst="rect">
                      <a:avLst/>
                    </a:prstGeom>
                  </pic:spPr>
                </pic:pic>
              </a:graphicData>
            </a:graphic>
          </wp:inline>
        </w:drawing>
      </w:r>
    </w:p>
    <w:p w:rsidR="00D87CDE" w:rsidRDefault="00D87CDE">
      <w:pPr>
        <w:pStyle w:val="ProductList-Body"/>
      </w:pPr>
    </w:p>
    <w:p w:rsidR="00D87CDE" w:rsidRDefault="00AC602F">
      <w:pPr>
        <w:pStyle w:val="ProductList-Body"/>
      </w:pPr>
      <w:r>
        <w:rPr>
          <w:b/>
          <w:color w:val="00188F"/>
        </w:rPr>
        <w:t xml:space="preserve">4. Software Assurance </w:t>
      </w:r>
      <w:r>
        <w:t>identifica os termos e condições associados à cobertura SA.</w:t>
      </w:r>
    </w:p>
    <w:p w:rsidR="00D87CDE" w:rsidRDefault="00AC602F">
      <w:pPr>
        <w:pStyle w:val="ProductList-Body"/>
      </w:pPr>
      <w:r>
        <w:rPr>
          <w:noProof/>
          <w:lang w:eastAsia="zh-TW"/>
        </w:rPr>
        <w:drawing>
          <wp:inline distT="0" distB="0" distL="0" distR="0" wp14:anchorId="265EA1F1" wp14:editId="177763C2">
            <wp:extent cx="5029200" cy="1257300"/>
            <wp:effectExtent l="0" t="0" r="0" b="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8"/>
                    <a:stretch>
                      <a:fillRect/>
                    </a:stretch>
                  </pic:blipFill>
                  <pic:spPr>
                    <a:xfrm>
                      <a:off x="0" y="0"/>
                      <a:ext cx="5029200" cy="1257300"/>
                    </a:xfrm>
                    <a:prstGeom prst="rect">
                      <a:avLst/>
                    </a:prstGeom>
                  </pic:spPr>
                </pic:pic>
              </a:graphicData>
            </a:graphic>
          </wp:inline>
        </w:drawing>
      </w:r>
    </w:p>
    <w:p w:rsidR="00D87CDE" w:rsidRDefault="00AC602F">
      <w:pPr>
        <w:pStyle w:val="ProductList-Offering1Heading"/>
        <w:outlineLvl w:val="1"/>
      </w:pPr>
      <w:bookmarkStart w:id="9" w:name="_Sec535"/>
      <w:r>
        <w:t>Clarificações e Resumo de Alterações a este Documento</w:t>
      </w:r>
      <w:bookmarkEnd w:id="9"/>
      <w:r>
        <w:fldChar w:fldCharType="begin"/>
      </w:r>
      <w:r>
        <w:instrText xml:space="preserve"> TC "</w:instrText>
      </w:r>
      <w:bookmarkStart w:id="10" w:name="_Toc452110441"/>
      <w:r>
        <w:instrText>Clarificações e Resumo de Alterações a este Documento</w:instrText>
      </w:r>
      <w:bookmarkEnd w:id="10"/>
      <w:r>
        <w:instrText>" \l 2</w:instrText>
      </w:r>
      <w:r>
        <w:fldChar w:fldCharType="end"/>
      </w:r>
    </w:p>
    <w:p w:rsidR="00D87CDE" w:rsidRDefault="00AC602F">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02"/>
        <w:gridCol w:w="5388"/>
      </w:tblGrid>
      <w:tr w:rsidR="00D87C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Eliminações</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2014 Standard</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2016 Standard Core (Licença Core, 2 por pacote)</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2014 Standard Core (Licença Core, 2 por pacote)</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2014 Enterprise</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2016 Enterprise Core (Licença Core, 2 por pacote)</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2014 Enterprise Core (Licença Core, 2 por pacote)</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CAL para SQL Server 2016</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2014 Business Intelligence</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CAL para SQL Server 2016</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Parallel Data Warehouse</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Consumo RTPC do Skype para Empresas</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2014 Parallel Data Warehouse Developer</w:t>
            </w:r>
          </w:p>
        </w:tc>
      </w:tr>
    </w:tbl>
    <w:p w:rsidR="00D87CDE" w:rsidRDefault="00D87CDE">
      <w:pPr>
        <w:pStyle w:val="ProductList-Body"/>
      </w:pPr>
    </w:p>
    <w:p w:rsidR="00D87CDE" w:rsidRDefault="00AC602F">
      <w:pPr>
        <w:pStyle w:val="ProductList-ClauseHeading"/>
        <w:outlineLvl w:val="2"/>
      </w:pPr>
      <w:r>
        <w:t>Termos de Modelo de Licenciamento</w:t>
      </w:r>
    </w:p>
    <w:p w:rsidR="00D87CDE" w:rsidRDefault="0050418C">
      <w:pPr>
        <w:pStyle w:val="ProductList-Body"/>
      </w:pPr>
      <w:hyperlink w:anchor="_Sec614">
        <w:r w:rsidR="00AC602F">
          <w:rPr>
            <w:color w:val="00467F"/>
            <w:u w:val="single"/>
          </w:rPr>
          <w:t>Por Núcleo: Com SQL Server 2016</w:t>
        </w:r>
      </w:hyperlink>
      <w:r w:rsidR="00AC602F">
        <w:t>: A Microsoft já não atribui licenças com base no Fator Associado ao Núcleo; no entanto, os Fatores Associados ao Núcleo mantêm a sua relevância para o BizTalk Server 2013 R2 e o Microsoft Dynamics AX Standard Commerce Server Core.</w:t>
      </w:r>
    </w:p>
    <w:p w:rsidR="00D87CDE" w:rsidRDefault="00D87CDE">
      <w:pPr>
        <w:pStyle w:val="ProductList-Body"/>
      </w:pPr>
    </w:p>
    <w:p w:rsidR="00D87CDE" w:rsidRDefault="00AC602F">
      <w:pPr>
        <w:pStyle w:val="ProductList-ClauseHeading"/>
        <w:outlineLvl w:val="2"/>
      </w:pPr>
      <w:r>
        <w:t>Software</w:t>
      </w:r>
    </w:p>
    <w:p w:rsidR="00D87CDE" w:rsidRDefault="0050418C">
      <w:pPr>
        <w:pStyle w:val="ProductList-Body"/>
      </w:pPr>
      <w:hyperlink w:anchor="_Sec636">
        <w:r w:rsidR="00AC602F">
          <w:rPr>
            <w:color w:val="00467F"/>
            <w:u w:val="single"/>
          </w:rPr>
          <w:t>Aplicações de Estação de Trabalho do Office</w:t>
        </w:r>
      </w:hyperlink>
      <w:r w:rsidR="00AC602F">
        <w:t xml:space="preserve">: Os clientes que adquirirem o Office Standard 2016 e o Office Professional Plus 2016 entre 1 de maio de 2016 e 1 de agosto de 2016 poderão utilizar a funcionalidade de edição do Office Online Server, tal como descrito no </w:t>
      </w:r>
      <w:hyperlink w:anchor="_Sec564">
        <w:r w:rsidR="00AC602F">
          <w:rPr>
            <w:color w:val="00467F"/>
            <w:u w:val="single"/>
          </w:rPr>
          <w:t>Apêndice B</w:t>
        </w:r>
      </w:hyperlink>
      <w:r w:rsidR="00AC602F">
        <w:t>.</w:t>
      </w:r>
    </w:p>
    <w:p w:rsidR="00D87CDE" w:rsidRDefault="00D87CDE">
      <w:pPr>
        <w:pStyle w:val="ProductList-Body"/>
      </w:pPr>
    </w:p>
    <w:p w:rsidR="00D87CDE" w:rsidRDefault="00AC602F">
      <w:pPr>
        <w:pStyle w:val="ProductList-ClauseHeading"/>
        <w:outlineLvl w:val="2"/>
      </w:pPr>
      <w:r>
        <w:t>Termos Específicos do Serviço Online</w:t>
      </w:r>
    </w:p>
    <w:p w:rsidR="00D87CDE" w:rsidRDefault="0050418C">
      <w:pPr>
        <w:pStyle w:val="ProductList-Body"/>
      </w:pPr>
      <w:hyperlink w:anchor="_Sec625">
        <w:r w:rsidR="00AC602F">
          <w:rPr>
            <w:color w:val="00467F"/>
            <w:u w:val="single"/>
          </w:rPr>
          <w:t>Serviços do Microsoft Azure</w:t>
        </w:r>
      </w:hyperlink>
      <w:r w:rsidR="00AC602F">
        <w:t>: A definição de Taxas de Alocação foi removida e foi adicionada uma notificação para os Clientes do Contrato Enterprise indiretos, toda a utilização que exceda o Compromisso Anual Atribuído será faturada com base nas Taxas de Consumo ao revendedor do Cliente no fim de cada trimestre da Inscrição.</w:t>
      </w:r>
    </w:p>
    <w:p w:rsidR="00D87CDE" w:rsidRDefault="0050418C">
      <w:pPr>
        <w:pStyle w:val="ProductList-Body"/>
      </w:pPr>
      <w:hyperlink w:anchor="_Sec633">
        <w:r w:rsidR="00AC602F">
          <w:rPr>
            <w:color w:val="00467F"/>
            <w:u w:val="single"/>
          </w:rPr>
          <w:t>Office 365 Applications</w:t>
        </w:r>
      </w:hyperlink>
      <w:r w:rsidR="00AC602F">
        <w:t>: Os utilizadores do Office 2016 com uma subscrição do Project Pro para Office 365 ou Visio Pro para Office 365 poderão instalar e utilizar uma cópia individual do software Project Professional 2016 ou Visio Professional 2016 no dispositivo em que o Office 2016 está instalado.</w:t>
      </w:r>
    </w:p>
    <w:p w:rsidR="00D87CDE" w:rsidRDefault="00D87CDE">
      <w:pPr>
        <w:pStyle w:val="ProductList-Body"/>
      </w:pPr>
    </w:p>
    <w:p w:rsidR="00D87CDE" w:rsidRDefault="00AC602F">
      <w:pPr>
        <w:pStyle w:val="ProductList-ClauseHeading"/>
        <w:outlineLvl w:val="2"/>
      </w:pPr>
      <w:r>
        <w:t>Promoções</w:t>
      </w:r>
    </w:p>
    <w:p w:rsidR="00D87CDE" w:rsidRDefault="00AC602F">
      <w:pPr>
        <w:pStyle w:val="ProductList-Body"/>
      </w:pPr>
      <w:r>
        <w:t>Promoção Azure Compute Capacity: Prolongada até 31 de dezembro de 2016.</w:t>
      </w:r>
    </w:p>
    <w:p w:rsidR="00D87CDE" w:rsidRDefault="00AC602F">
      <w:pPr>
        <w:pStyle w:val="ProductList-Body"/>
      </w:pPr>
      <w:r>
        <w:t>Promoção Azure Consumption Incentive: Foram adicionados os termos desta novas promoção.</w:t>
      </w:r>
    </w:p>
    <w:p w:rsidR="00D87CDE" w:rsidRDefault="00AC602F">
      <w:pPr>
        <w:pStyle w:val="ProductList-Body"/>
      </w:pPr>
      <w:r>
        <w:t>Promoção Renewal/Mid-term Azure Credit: Foram adicionados os termos desta novas promoção.</w:t>
      </w:r>
    </w:p>
    <w:p w:rsidR="00D87CDE" w:rsidRDefault="00AC602F">
      <w:pPr>
        <w:pStyle w:val="ProductList-Body"/>
      </w:pPr>
      <w:r>
        <w:t>Promoção Worldwide Compute Pre-Purchase: Foram adicionados os termos desta novas promoção.</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D87CDE">
      <w:pPr>
        <w:sectPr w:rsidR="00D87CDE">
          <w:headerReference w:type="default" r:id="rId29"/>
          <w:footerReference w:type="default" r:id="rId30"/>
          <w:type w:val="continuous"/>
          <w:pgSz w:w="12240" w:h="15840" w:code="1"/>
          <w:pgMar w:top="1170" w:right="720" w:bottom="720" w:left="720" w:header="432" w:footer="288" w:gutter="0"/>
          <w:cols w:space="360"/>
        </w:sectPr>
      </w:pPr>
    </w:p>
    <w:p w:rsidR="00D87CDE" w:rsidRDefault="00AC602F">
      <w:pPr>
        <w:pStyle w:val="ProductList-SectionHeading"/>
        <w:pageBreakBefore/>
        <w:outlineLvl w:val="0"/>
      </w:pPr>
      <w:bookmarkStart w:id="11" w:name="_Sec536"/>
      <w:bookmarkEnd w:id="1"/>
      <w:r>
        <w:t>Termos de Licenciamento</w:t>
      </w:r>
      <w:r>
        <w:fldChar w:fldCharType="begin"/>
      </w:r>
      <w:r>
        <w:instrText xml:space="preserve"> TC "</w:instrText>
      </w:r>
      <w:bookmarkStart w:id="12" w:name="_Toc452110442"/>
      <w:r>
        <w:instrText>Termos de Licenciamento</w:instrText>
      </w:r>
      <w:bookmarkEnd w:id="12"/>
      <w:r>
        <w:instrText>" \l 1</w:instrText>
      </w:r>
      <w:r>
        <w:fldChar w:fldCharType="end"/>
      </w:r>
    </w:p>
    <w:p w:rsidR="00D87CDE" w:rsidRDefault="00AC602F">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D87CDE" w:rsidRDefault="00D87CDE">
      <w:pPr>
        <w:pStyle w:val="ProductList-Body"/>
      </w:pPr>
    </w:p>
    <w:p w:rsidR="00D87CDE" w:rsidRDefault="00AC602F">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D87CDE" w:rsidRDefault="00AC602F">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452110443"/>
      <w:r>
        <w:instrText>Termos de Licenciamento Universal</w:instrText>
      </w:r>
      <w:bookmarkEnd w:id="14"/>
      <w:r>
        <w:instrText>" \l 2</w:instrText>
      </w:r>
      <w:r>
        <w:fldChar w:fldCharType="end"/>
      </w:r>
    </w:p>
    <w:p w:rsidR="00D87CDE" w:rsidRDefault="00AC602F">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D87CDE" w:rsidRDefault="00D87CDE">
      <w:pPr>
        <w:pStyle w:val="ProductList-Body"/>
      </w:pPr>
    </w:p>
    <w:p w:rsidR="00D87CDE" w:rsidRDefault="00AC602F">
      <w:pPr>
        <w:pStyle w:val="ProductList-ClauseHeading"/>
        <w:outlineLvl w:val="2"/>
      </w:pPr>
      <w:r>
        <w:t>1. Definições</w:t>
      </w:r>
    </w:p>
    <w:p w:rsidR="00D87CDE" w:rsidRDefault="00AC602F">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D87CDE" w:rsidRDefault="00D87CDE">
      <w:pPr>
        <w:pStyle w:val="ProductList-Body"/>
      </w:pPr>
    </w:p>
    <w:p w:rsidR="00D87CDE" w:rsidRDefault="00AC602F">
      <w:pPr>
        <w:pStyle w:val="ProductList-ClauseHeading"/>
        <w:outlineLvl w:val="2"/>
      </w:pPr>
      <w:r>
        <w:t>2. Direitos de Utilização do Cliente</w:t>
      </w:r>
    </w:p>
    <w:p w:rsidR="00D87CDE" w:rsidRDefault="00AC602F">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D87CDE" w:rsidRDefault="00D87CDE">
      <w:pPr>
        <w:pStyle w:val="ProductList-Body"/>
      </w:pPr>
    </w:p>
    <w:p w:rsidR="00D87CDE" w:rsidRDefault="00AC602F">
      <w:pPr>
        <w:pStyle w:val="ProductList-ClauseHeading"/>
        <w:outlineLvl w:val="2"/>
      </w:pPr>
      <w:r>
        <w:t>3. Direitos de Utilização de Outras Versões e Edições Inferiores</w:t>
      </w:r>
    </w:p>
    <w:p w:rsidR="00D87CDE" w:rsidRDefault="00AC602F">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D87CDE" w:rsidRDefault="00D87CDE">
      <w:pPr>
        <w:pStyle w:val="ProductList-Body"/>
      </w:pPr>
    </w:p>
    <w:p w:rsidR="00D87CDE" w:rsidRDefault="00AC602F">
      <w:pPr>
        <w:pStyle w:val="ProductList-ClauseHeading"/>
        <w:outlineLvl w:val="2"/>
      </w:pPr>
      <w:r>
        <w:t>4. Software de Terceiros</w:t>
      </w:r>
    </w:p>
    <w:p w:rsidR="00D87CDE" w:rsidRDefault="00AC602F">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D87CDE" w:rsidRDefault="00D87CDE">
      <w:pPr>
        <w:pStyle w:val="ProductList-Body"/>
      </w:pPr>
    </w:p>
    <w:p w:rsidR="00D87CDE" w:rsidRDefault="00AC602F">
      <w:pPr>
        <w:pStyle w:val="ProductList-ClauseHeading"/>
        <w:outlineLvl w:val="2"/>
      </w:pPr>
      <w:r>
        <w:t>5. Código de Pré-lançamento, Atualizações ou Suplementos, Funcionalidade Adicional</w:t>
      </w:r>
    </w:p>
    <w:p w:rsidR="00D87CDE" w:rsidRDefault="00AC602F">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D87CDE" w:rsidRDefault="00D87CDE">
      <w:pPr>
        <w:pStyle w:val="ProductList-Body"/>
      </w:pPr>
    </w:p>
    <w:p w:rsidR="00D87CDE" w:rsidRDefault="00AC602F">
      <w:pPr>
        <w:pStyle w:val="ProductList-ClauseHeading"/>
        <w:outlineLvl w:val="2"/>
      </w:pPr>
      <w:r>
        <w:t>6. Restrições</w:t>
      </w:r>
    </w:p>
    <w:p w:rsidR="00D87CDE" w:rsidRDefault="00AC602F">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D87CDE" w:rsidRDefault="00D87CDE">
      <w:pPr>
        <w:pStyle w:val="ProductList-Body"/>
      </w:pPr>
    </w:p>
    <w:p w:rsidR="00D87CDE" w:rsidRDefault="00AC602F">
      <w:pPr>
        <w:pStyle w:val="ProductList-ClauseHeading"/>
        <w:outlineLvl w:val="2"/>
      </w:pPr>
      <w:r>
        <w:t>7. Software Assurance</w:t>
      </w:r>
    </w:p>
    <w:p w:rsidR="00D87CDE" w:rsidRDefault="00AC602F">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D87CDE" w:rsidRDefault="00D87CDE">
      <w:pPr>
        <w:pStyle w:val="ProductList-Body"/>
      </w:pPr>
    </w:p>
    <w:p w:rsidR="00D87CDE" w:rsidRDefault="00AC602F">
      <w:pPr>
        <w:pStyle w:val="ProductList-ClauseHeading"/>
        <w:outlineLvl w:val="2"/>
      </w:pPr>
      <w:r>
        <w:t>8. Gestão de Software de Outsourcing</w:t>
      </w:r>
    </w:p>
    <w:p w:rsidR="00D87CDE" w:rsidRDefault="00AC602F">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D87CDE" w:rsidRDefault="00D87CDE">
      <w:pPr>
        <w:pStyle w:val="ProductList-Body"/>
      </w:pPr>
    </w:p>
    <w:p w:rsidR="00D87CDE" w:rsidRDefault="00AC602F">
      <w:pPr>
        <w:pStyle w:val="ProductList-ClauseHeading"/>
        <w:outlineLvl w:val="2"/>
      </w:pPr>
      <w:r>
        <w:t>9. Atribuição e Reatribuição de Licenças</w:t>
      </w:r>
    </w:p>
    <w:p w:rsidR="00D87CDE" w:rsidRDefault="00AC602F">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rsidR="00D87CDE" w:rsidRDefault="00D87CDE">
      <w:pPr>
        <w:pStyle w:val="ProductList-Body"/>
      </w:pPr>
    </w:p>
    <w:p w:rsidR="00D87CDE" w:rsidRDefault="00AC602F">
      <w:pPr>
        <w:pStyle w:val="ProductList-ClauseHeading"/>
        <w:outlineLvl w:val="2"/>
      </w:pPr>
      <w:r>
        <w:t>10. Medidas Técnicas</w:t>
      </w:r>
    </w:p>
    <w:p w:rsidR="00D87CDE" w:rsidRDefault="00AC602F">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D87CDE" w:rsidRDefault="00D87CDE">
      <w:pPr>
        <w:pStyle w:val="ProductList-Body"/>
      </w:pPr>
    </w:p>
    <w:p w:rsidR="00D87CDE" w:rsidRDefault="00AC602F">
      <w:pPr>
        <w:pStyle w:val="ProductList-SubClauseHeading"/>
        <w:outlineLvl w:val="3"/>
      </w:pPr>
      <w:r>
        <w:t>10.1 Ativação e validação</w:t>
      </w:r>
    </w:p>
    <w:p w:rsidR="00D87CDE" w:rsidRDefault="00AC602F">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rsidR="00D87CDE" w:rsidRDefault="00D87CDE">
      <w:pPr>
        <w:pStyle w:val="ProductList-BodyIndented"/>
      </w:pPr>
    </w:p>
    <w:p w:rsidR="00D87CDE" w:rsidRDefault="00AC602F">
      <w:pPr>
        <w:pStyle w:val="ProductList-SubClauseHeading"/>
        <w:outlineLvl w:val="3"/>
      </w:pPr>
      <w:r>
        <w:t>10.2 Chaves de Produto</w:t>
      </w:r>
    </w:p>
    <w:p w:rsidR="00D87CDE" w:rsidRDefault="00AC602F">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D87CDE" w:rsidRDefault="00D87CDE">
      <w:pPr>
        <w:pStyle w:val="ProductList-BodyIndented"/>
      </w:pPr>
    </w:p>
    <w:p w:rsidR="00D87CDE" w:rsidRDefault="00AC602F">
      <w:pPr>
        <w:pStyle w:val="ProductList-ClauseHeading"/>
        <w:outlineLvl w:val="2"/>
      </w:pPr>
      <w:r>
        <w:t>11. Notificações</w:t>
      </w:r>
    </w:p>
    <w:p w:rsidR="00D87CDE" w:rsidRDefault="00AC602F">
      <w:pPr>
        <w:pStyle w:val="ProductList-Body"/>
      </w:pPr>
      <w:r>
        <w:t>Quando indicado na secção Direitos de Utilização de cada Entrada de Produto, aplicam-se as seguintes notificações:</w:t>
      </w:r>
    </w:p>
    <w:p w:rsidR="00D87CDE" w:rsidRDefault="00D87CDE">
      <w:pPr>
        <w:pStyle w:val="ProductList-Body"/>
      </w:pPr>
    </w:p>
    <w:p w:rsidR="00D87CDE" w:rsidRDefault="00AC602F">
      <w:pPr>
        <w:pStyle w:val="ProductList-SubClauseHeading"/>
        <w:outlineLvl w:val="3"/>
      </w:pPr>
      <w:r>
        <w:t>11. 1 Funcionalidades baseadas na Internet</w:t>
      </w:r>
    </w:p>
    <w:p w:rsidR="00D87CDE" w:rsidRDefault="00AC602F">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D87CDE" w:rsidRDefault="00D87CDE">
      <w:pPr>
        <w:pStyle w:val="ProductList-BodyIndented"/>
      </w:pPr>
    </w:p>
    <w:p w:rsidR="00D87CDE" w:rsidRDefault="00AC602F">
      <w:pPr>
        <w:pStyle w:val="ProductList-SubClauseHeading"/>
        <w:outlineLvl w:val="3"/>
      </w:pPr>
      <w:r>
        <w:t>11.2 Mapas Bing</w:t>
      </w:r>
    </w:p>
    <w:p w:rsidR="00D87CDE" w:rsidRDefault="00AC602F">
      <w:pPr>
        <w:pStyle w:val="ProductList-BodyIndented"/>
      </w:pPr>
      <w:r>
        <w:t xml:space="preserve">O Produto inclui a utilização do Bing Maps.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rsidR="00D87CDE" w:rsidRDefault="00D87CDE">
      <w:pPr>
        <w:pStyle w:val="ProductList-BodyIndented"/>
      </w:pPr>
    </w:p>
    <w:p w:rsidR="00D87CDE" w:rsidRDefault="00AC602F">
      <w:pPr>
        <w:pStyle w:val="ProductList-SubClauseHeading"/>
        <w:outlineLvl w:val="3"/>
      </w:pPr>
      <w:r>
        <w:t>11.3 Norma Visual H.264/AVC, Norma de Vídeo VC-1 e Norma Visual MPEG-4 Parte 2</w:t>
      </w:r>
    </w:p>
    <w:p w:rsidR="00D87CDE" w:rsidRDefault="00AC602F">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D87CDE" w:rsidRDefault="00D87CDE">
      <w:pPr>
        <w:pStyle w:val="ProductList-BodyIndented"/>
      </w:pPr>
    </w:p>
    <w:p w:rsidR="00D87CDE" w:rsidRDefault="00AC602F">
      <w:pPr>
        <w:pStyle w:val="ProductList-ClauseHeading"/>
        <w:outlineLvl w:val="2"/>
      </w:pPr>
      <w:r>
        <w:t>12. Componentes de Tipos de Letra, Imagens e Sons</w:t>
      </w:r>
    </w:p>
    <w:p w:rsidR="00D87CDE" w:rsidRDefault="00AC602F">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D87CDE" w:rsidRDefault="00D87CDE">
      <w:pPr>
        <w:pStyle w:val="ProductList-Body"/>
      </w:pPr>
    </w:p>
    <w:p w:rsidR="00D87CDE" w:rsidRDefault="00AC602F">
      <w:pPr>
        <w:pStyle w:val="ProductList-ClauseHeading"/>
        <w:outlineLvl w:val="2"/>
      </w:pPr>
      <w:r>
        <w:t>13. Tecnologias Incluídas</w:t>
      </w:r>
    </w:p>
    <w:p w:rsidR="00D87CDE" w:rsidRDefault="00AC602F">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D87CDE" w:rsidRDefault="00D87CDE">
      <w:pPr>
        <w:pStyle w:val="ProductList-Body"/>
      </w:pPr>
    </w:p>
    <w:p w:rsidR="00D87CDE" w:rsidRDefault="00AC602F">
      <w:pPr>
        <w:pStyle w:val="ProductList-ClauseHeading"/>
        <w:outlineLvl w:val="2"/>
      </w:pPr>
      <w:r>
        <w:t>14. Teste de Referência</w:t>
      </w:r>
    </w:p>
    <w:p w:rsidR="00D87CDE" w:rsidRDefault="00AC602F">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D87CDE" w:rsidRDefault="00D87CDE">
      <w:pPr>
        <w:pStyle w:val="ProductList-Body"/>
      </w:pPr>
    </w:p>
    <w:p w:rsidR="00D87CDE" w:rsidRDefault="00AC602F">
      <w:pPr>
        <w:pStyle w:val="ProductList-ClauseHeading"/>
        <w:outlineLvl w:val="2"/>
      </w:pPr>
      <w:r>
        <w:t>15. Multiplexação</w:t>
      </w:r>
    </w:p>
    <w:p w:rsidR="00D87CDE" w:rsidRDefault="00AC602F">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D87CDE" w:rsidRDefault="00D87CDE">
      <w:pPr>
        <w:pStyle w:val="ProductList-Body"/>
      </w:pPr>
    </w:p>
    <w:p w:rsidR="00D87CDE" w:rsidRDefault="00AC602F">
      <w:pPr>
        <w:pStyle w:val="ProductList-ClauseHeading"/>
        <w:outlineLvl w:val="2"/>
      </w:pPr>
      <w:r>
        <w:t>16. Direitos Administrativos e de Suporte</w:t>
      </w:r>
    </w:p>
    <w:p w:rsidR="00D87CDE" w:rsidRDefault="00AC602F">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D87CDE" w:rsidRDefault="00D87CDE">
      <w:pPr>
        <w:pStyle w:val="ProductList-Body"/>
      </w:pPr>
    </w:p>
    <w:p w:rsidR="00D87CDE" w:rsidRDefault="00AC602F">
      <w:pPr>
        <w:pStyle w:val="ProductList-ClauseHeading"/>
        <w:outlineLvl w:val="2"/>
      </w:pPr>
      <w:r>
        <w:t>17. Código Distribuível</w:t>
      </w:r>
    </w:p>
    <w:p w:rsidR="00D87CDE" w:rsidRDefault="00AC602F">
      <w:pPr>
        <w:pStyle w:val="ProductList-Body"/>
      </w:pPr>
      <w:r>
        <w:t xml:space="preserve">O software pode incluir código que o Cliente poderá distribuir em programas desenvolvidos por si, desde que observe os termos abaixo. </w:t>
      </w:r>
    </w:p>
    <w:p w:rsidR="00D87CDE" w:rsidRDefault="00D87CDE">
      <w:pPr>
        <w:pStyle w:val="ProductList-Body"/>
      </w:pPr>
    </w:p>
    <w:p w:rsidR="00D87CDE" w:rsidRDefault="00AC602F">
      <w:pPr>
        <w:pStyle w:val="ProductList-SubClauseHeading"/>
        <w:outlineLvl w:val="3"/>
      </w:pPr>
      <w:r>
        <w:t>17.1 Direito de Utilização e Distribuição.</w:t>
      </w:r>
    </w:p>
    <w:p w:rsidR="00D87CDE" w:rsidRDefault="00AC602F">
      <w:pPr>
        <w:pStyle w:val="ProductList-BodyIndented"/>
      </w:pPr>
      <w:r>
        <w:t xml:space="preserve">O código e os ficheiros de texto listados abaixo são “Código Distribuível”. </w:t>
      </w:r>
    </w:p>
    <w:p w:rsidR="00D87CDE" w:rsidRDefault="00AC602F" w:rsidP="00AC602F">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D87CDE" w:rsidRDefault="00AC602F" w:rsidP="00AC602F">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rsidR="00D87CDE" w:rsidRDefault="00AC602F" w:rsidP="00AC602F">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D87CDE" w:rsidRDefault="00AC602F" w:rsidP="00AC602F">
      <w:pPr>
        <w:pStyle w:val="ProductList-Bullet"/>
        <w:numPr>
          <w:ilvl w:val="1"/>
          <w:numId w:val="4"/>
        </w:numPr>
      </w:pPr>
      <w:r>
        <w:t>Biblioteca de Imagens: O Cliente poderá copiar e distribuir imagens, gráficos e animações na Biblioteca de Imagens conforme descrito na documentação do software.</w:t>
      </w:r>
    </w:p>
    <w:p w:rsidR="00D87CDE" w:rsidRDefault="00D87CDE">
      <w:pPr>
        <w:pStyle w:val="ProductList-BodyIndented"/>
      </w:pPr>
    </w:p>
    <w:p w:rsidR="00D87CDE" w:rsidRDefault="00AC602F">
      <w:pPr>
        <w:pStyle w:val="ProductList-SubClauseHeading"/>
        <w:outlineLvl w:val="3"/>
      </w:pPr>
      <w:r>
        <w:t>17.2 Requisitos de Distribuição</w:t>
      </w:r>
    </w:p>
    <w:p w:rsidR="00D87CDE" w:rsidRDefault="00AC602F">
      <w:pPr>
        <w:pStyle w:val="ProductList-BodyIndented"/>
      </w:pPr>
      <w:r>
        <w:t>Se o Cliente distribuir qualquer Código Distribuível. O Cliente deve:</w:t>
      </w:r>
    </w:p>
    <w:p w:rsidR="00D87CDE" w:rsidRDefault="00AC602F" w:rsidP="00AC602F">
      <w:pPr>
        <w:pStyle w:val="ProductList-Bullet"/>
        <w:numPr>
          <w:ilvl w:val="1"/>
          <w:numId w:val="5"/>
        </w:numPr>
      </w:pPr>
      <w:r>
        <w:t>distribui-lo apenas com os programas do Cliente, que fornecem uma funcionalidade principal significativa ao Código Distribuível;</w:t>
      </w:r>
    </w:p>
    <w:p w:rsidR="00D87CDE" w:rsidRDefault="00AC602F" w:rsidP="00AC602F">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rsidR="00D87CDE" w:rsidRDefault="00AC602F" w:rsidP="00AC602F">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D87CDE" w:rsidRDefault="00D87CDE">
      <w:pPr>
        <w:pStyle w:val="ProductList-BodyIndented"/>
      </w:pPr>
    </w:p>
    <w:p w:rsidR="00D87CDE" w:rsidRDefault="00AC602F">
      <w:pPr>
        <w:pStyle w:val="ProductList-SubClauseHeading"/>
        <w:outlineLvl w:val="3"/>
      </w:pPr>
      <w:r>
        <w:t>17.3 Limitações à Distribuição</w:t>
      </w:r>
    </w:p>
    <w:p w:rsidR="00D87CDE" w:rsidRDefault="00AC602F">
      <w:pPr>
        <w:pStyle w:val="ProductList-BodyIndented"/>
      </w:pPr>
      <w:r>
        <w:t>O Cliente não poderá:</w:t>
      </w:r>
    </w:p>
    <w:p w:rsidR="00D87CDE" w:rsidRDefault="00AC602F" w:rsidP="00AC602F">
      <w:pPr>
        <w:pStyle w:val="ProductList-Bullet"/>
        <w:numPr>
          <w:ilvl w:val="1"/>
          <w:numId w:val="6"/>
        </w:numPr>
      </w:pPr>
      <w:r>
        <w:t>alterar quaisquer notificações relativas a direitos de autor, marcas registadas ou patentes que apareçam no Código Distribuível;</w:t>
      </w:r>
    </w:p>
    <w:p w:rsidR="00D87CDE" w:rsidRDefault="00AC602F" w:rsidP="00AC602F">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rsidR="00D87CDE" w:rsidRDefault="00AC602F" w:rsidP="00AC602F">
      <w:pPr>
        <w:pStyle w:val="ProductList-Bullet"/>
        <w:numPr>
          <w:ilvl w:val="1"/>
          <w:numId w:val="6"/>
        </w:numPr>
      </w:pPr>
      <w:r>
        <w:t>distribuir Código Distribuível em ou com quaisquer programas maliciosos ou enganadores ou de uma forma ilegítima; ou</w:t>
      </w:r>
    </w:p>
    <w:p w:rsidR="00D87CDE" w:rsidRDefault="00AC602F" w:rsidP="00AC602F">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D87CDE" w:rsidRDefault="00D87CDE">
      <w:pPr>
        <w:pStyle w:val="ProductList-BodyIndented"/>
      </w:pPr>
    </w:p>
    <w:p w:rsidR="00D87CDE" w:rsidRDefault="00AC602F">
      <w:pPr>
        <w:pStyle w:val="ProductList-ClauseHeading"/>
        <w:outlineLvl w:val="2"/>
      </w:pPr>
      <w:r>
        <w:t>18. Software mais Serviços</w:t>
      </w:r>
    </w:p>
    <w:p w:rsidR="00D87CDE" w:rsidRDefault="00AC602F">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GroupHeading"/>
        <w:outlineLvl w:val="1"/>
      </w:pPr>
      <w:bookmarkStart w:id="15" w:name="_Sec538"/>
      <w:r>
        <w:t>Termos de Modelo de Licenciamento</w:t>
      </w:r>
      <w:bookmarkEnd w:id="15"/>
      <w:r>
        <w:fldChar w:fldCharType="begin"/>
      </w:r>
      <w:r>
        <w:instrText xml:space="preserve"> TC "</w:instrText>
      </w:r>
      <w:bookmarkStart w:id="16" w:name="_Toc452110444"/>
      <w:r>
        <w:instrText>Termos de Modelo de Licenciamento</w:instrText>
      </w:r>
      <w:bookmarkEnd w:id="16"/>
      <w:r>
        <w:instrText>" \l 2</w:instrText>
      </w:r>
      <w:r>
        <w:fldChar w:fldCharType="end"/>
      </w:r>
    </w:p>
    <w:p w:rsidR="00D87CDE" w:rsidRDefault="00AC602F">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D87CDE" w:rsidRDefault="00AC602F">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452110445"/>
      <w:r>
        <w:instrText>Aplicações de Estação de Trabalho</w:instrText>
      </w:r>
      <w:bookmarkEnd w:id="18"/>
      <w:r>
        <w:instrText>" \l 3</w:instrText>
      </w:r>
      <w:r>
        <w:fldChar w:fldCharType="end"/>
      </w:r>
    </w:p>
    <w:p w:rsidR="00D87CDE" w:rsidRDefault="00AC602F">
      <w:pPr>
        <w:pStyle w:val="ProductList-ClauseHeading"/>
        <w:outlineLvl w:val="3"/>
      </w:pPr>
      <w:r>
        <w:t>Licença de Dispositivo</w:t>
      </w:r>
    </w:p>
    <w:p w:rsidR="00D87CDE" w:rsidRDefault="00AC602F" w:rsidP="00AC602F">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D87CDE" w:rsidRDefault="00AC602F" w:rsidP="00AC602F">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D87CDE" w:rsidRDefault="00AC602F" w:rsidP="00AC602F">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D87CDE" w:rsidRDefault="00AC602F" w:rsidP="00AC602F">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D87CDE" w:rsidRDefault="00AC602F" w:rsidP="00AC602F">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D87CDE" w:rsidRDefault="00D87CDE">
      <w:pPr>
        <w:pStyle w:val="ProductList-Body"/>
      </w:pPr>
    </w:p>
    <w:p w:rsidR="00D87CDE" w:rsidRDefault="00AC602F">
      <w:pPr>
        <w:pStyle w:val="ProductList-ClauseHeading"/>
        <w:outlineLvl w:val="3"/>
      </w:pPr>
      <w:r>
        <w:t>Modelos e Elementos de Multimédia</w:t>
      </w:r>
    </w:p>
    <w:p w:rsidR="00D87CDE" w:rsidRDefault="00AC602F">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D87CDE" w:rsidRDefault="00AC602F">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452110446"/>
      <w:r>
        <w:instrText>Sistemas Operativos de Estação de Trabalho</w:instrText>
      </w:r>
      <w:bookmarkEnd w:id="20"/>
      <w:r>
        <w:instrText>" \l 3</w:instrText>
      </w:r>
      <w:r>
        <w:fldChar w:fldCharType="end"/>
      </w:r>
    </w:p>
    <w:p w:rsidR="00D87CDE" w:rsidRDefault="00AC602F">
      <w:pPr>
        <w:pStyle w:val="ProductList-ClauseHeading"/>
        <w:outlineLvl w:val="3"/>
      </w:pPr>
      <w:r>
        <w:t>Licença de Dispositivo</w:t>
      </w:r>
    </w:p>
    <w:p w:rsidR="00D87CDE" w:rsidRDefault="00AC602F" w:rsidP="00AC602F">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D87CDE" w:rsidRDefault="00AC602F" w:rsidP="00AC602F">
      <w:pPr>
        <w:pStyle w:val="ProductList-Bullet"/>
        <w:numPr>
          <w:ilvl w:val="0"/>
          <w:numId w:val="8"/>
        </w:numPr>
      </w:pPr>
      <w:r>
        <w:t>O Cliente poderá utilizar o software num máximo de dois processadores.</w:t>
      </w:r>
    </w:p>
    <w:p w:rsidR="00D87CDE" w:rsidRDefault="00AC602F" w:rsidP="00AC602F">
      <w:pPr>
        <w:pStyle w:val="ProductList-Bullet"/>
        <w:numPr>
          <w:ilvl w:val="0"/>
          <w:numId w:val="8"/>
        </w:numPr>
      </w:pPr>
      <w:r>
        <w:t>A utilização local é permitida para qualquer utilizador.</w:t>
      </w:r>
    </w:p>
    <w:p w:rsidR="00D87CDE" w:rsidRDefault="00AC602F" w:rsidP="00AC602F">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D87CDE" w:rsidRDefault="00AC602F" w:rsidP="00AC602F">
      <w:pPr>
        <w:pStyle w:val="ProductList-Bullet"/>
        <w:numPr>
          <w:ilvl w:val="0"/>
          <w:numId w:val="8"/>
        </w:numPr>
      </w:pPr>
      <w:r>
        <w:t>Apenas um utilizador pode aceder e utilizar o software de cada vez.</w:t>
      </w:r>
    </w:p>
    <w:p w:rsidR="00D87CDE" w:rsidRDefault="00AC602F" w:rsidP="00AC602F">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D87CDE" w:rsidRDefault="00AC602F" w:rsidP="00AC602F">
      <w:pPr>
        <w:pStyle w:val="ProductList-Bullet"/>
        <w:numPr>
          <w:ilvl w:val="0"/>
          <w:numId w:val="8"/>
        </w:numPr>
      </w:pPr>
      <w:r>
        <w:t>Um número ilimitado de ligações é permitido para ativação dos KMS ou tecnologia semelhante.</w:t>
      </w:r>
    </w:p>
    <w:p w:rsidR="00D87CDE" w:rsidRDefault="00D87CDE">
      <w:pPr>
        <w:pStyle w:val="ProductList-Body"/>
      </w:pPr>
    </w:p>
    <w:p w:rsidR="00D87CDE" w:rsidRDefault="00AC602F">
      <w:pPr>
        <w:pStyle w:val="ProductList-ClauseHeading"/>
        <w:outlineLvl w:val="3"/>
      </w:pPr>
      <w:r>
        <w:t>Adobe Flash Player</w:t>
      </w:r>
    </w:p>
    <w:p w:rsidR="00D87CDE" w:rsidRDefault="00AC602F">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4">
        <w:r>
          <w:rPr>
            <w:color w:val="00467F"/>
            <w:u w:val="single"/>
          </w:rPr>
          <w:t>http://go.microsoft.com/fwlink/?linkid=248532</w:t>
        </w:r>
      </w:hyperlink>
      <w:r>
        <w:t>. Adobe e Flash são marcas registadas e/ou marcas comerciais da Adobe Systems Incorporated nos Estados Unidos e/ou noutros países.</w:t>
      </w:r>
    </w:p>
    <w:p w:rsidR="00D87CDE" w:rsidRDefault="00AC602F">
      <w:pPr>
        <w:pStyle w:val="ProductList-Offering2Heading"/>
        <w:outlineLvl w:val="2"/>
      </w:pPr>
      <w:bookmarkStart w:id="21" w:name="_Sec541"/>
      <w:r>
        <w:t>Processador/CAL</w:t>
      </w:r>
      <w:bookmarkEnd w:id="21"/>
      <w:r>
        <w:fldChar w:fldCharType="begin"/>
      </w:r>
      <w:r>
        <w:instrText xml:space="preserve"> TC "</w:instrText>
      </w:r>
      <w:bookmarkStart w:id="22" w:name="_Toc452110447"/>
      <w:r>
        <w:instrText>Processador/CAL</w:instrText>
      </w:r>
      <w:bookmarkEnd w:id="22"/>
      <w:r>
        <w:instrText>" \l 3</w:instrText>
      </w:r>
      <w:r>
        <w:fldChar w:fldCharType="end"/>
      </w:r>
    </w:p>
    <w:p w:rsidR="00D87CDE" w:rsidRDefault="00AC602F">
      <w:pPr>
        <w:pStyle w:val="ProductList-ClauseHeading"/>
        <w:outlineLvl w:val="3"/>
      </w:pPr>
      <w:r>
        <w:t>Licenças de Servidor (por processador)</w:t>
      </w:r>
    </w:p>
    <w:p w:rsidR="00D87CDE" w:rsidRDefault="00AC602F" w:rsidP="00AC602F">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D87CDE" w:rsidRDefault="00AC602F" w:rsidP="00AC602F">
      <w:pPr>
        <w:pStyle w:val="ProductList-Bullet"/>
        <w:numPr>
          <w:ilvl w:val="0"/>
          <w:numId w:val="9"/>
        </w:numPr>
      </w:pPr>
      <w:r>
        <w:t xml:space="preserve">É necessária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D87CDE" w:rsidRDefault="00AC602F" w:rsidP="00AC602F">
      <w:pPr>
        <w:pStyle w:val="ProductList-Bullet"/>
        <w:numPr>
          <w:ilvl w:val="0"/>
          <w:numId w:val="9"/>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D87CDE" w:rsidRDefault="00AC602F" w:rsidP="00AC602F">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D87CDE" w:rsidRDefault="00AC602F" w:rsidP="00AC602F">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só for utilizado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D87CDE" w:rsidRDefault="00AC602F" w:rsidP="00AC602F">
      <w:pPr>
        <w:pStyle w:val="ProductList-Bullet"/>
        <w:numPr>
          <w:ilvl w:val="0"/>
          <w:numId w:val="9"/>
        </w:numPr>
      </w:pPr>
      <w:r>
        <w:t xml:space="preserve">As licenças de centros de dados permitem a utilização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D87CDE" w:rsidRDefault="00AC602F" w:rsidP="00AC602F">
      <w:pPr>
        <w:pStyle w:val="ProductList-Bullet"/>
        <w:numPr>
          <w:ilvl w:val="0"/>
          <w:numId w:val="9"/>
        </w:numPr>
      </w:pPr>
      <w:r>
        <w:t xml:space="preserve">Desde que o número total de licenças e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permaneça o mesmo, a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é permitida sempre que o Cliente criar novas partições de um único elemento de hardware.</w:t>
      </w:r>
    </w:p>
    <w:p w:rsidR="00D87CDE" w:rsidRDefault="00AC602F" w:rsidP="00AC602F">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D87CDE" w:rsidRDefault="00D87CDE">
      <w:pPr>
        <w:pStyle w:val="ProductList-Body"/>
      </w:pPr>
    </w:p>
    <w:p w:rsidR="00D87CDE" w:rsidRDefault="00AC602F">
      <w:pPr>
        <w:pStyle w:val="ProductList-ClauseHeading"/>
        <w:outlineLvl w:val="3"/>
      </w:pPr>
      <w:r>
        <w:t>Licenças de Acesso</w:t>
      </w:r>
    </w:p>
    <w:p w:rsidR="00D87CDE" w:rsidRDefault="00AC602F" w:rsidP="00AC602F">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D87CDE" w:rsidRDefault="00AC602F" w:rsidP="00AC602F">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D87CDE" w:rsidRDefault="00AC602F" w:rsidP="00AC602F">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D87CDE" w:rsidRDefault="00AC602F" w:rsidP="00AC602F">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D87CDE" w:rsidRDefault="00AC602F">
      <w:pPr>
        <w:pStyle w:val="ProductList-Offering2Heading"/>
        <w:outlineLvl w:val="2"/>
      </w:pPr>
      <w:bookmarkStart w:id="23" w:name="_Sec542"/>
      <w:r>
        <w:t>Servidor/CAL</w:t>
      </w:r>
      <w:bookmarkEnd w:id="23"/>
      <w:r>
        <w:fldChar w:fldCharType="begin"/>
      </w:r>
      <w:r>
        <w:instrText xml:space="preserve"> TC "</w:instrText>
      </w:r>
      <w:bookmarkStart w:id="24" w:name="_Toc452110448"/>
      <w:r>
        <w:instrText>Servidor/CAL</w:instrText>
      </w:r>
      <w:bookmarkEnd w:id="24"/>
      <w:r>
        <w:instrText>" \l 3</w:instrText>
      </w:r>
      <w:r>
        <w:fldChar w:fldCharType="end"/>
      </w:r>
    </w:p>
    <w:p w:rsidR="00D87CDE" w:rsidRDefault="00AC602F">
      <w:pPr>
        <w:pStyle w:val="ProductList-ClauseHeading"/>
        <w:outlineLvl w:val="3"/>
      </w:pPr>
      <w:r>
        <w:t>Licenças de Servidor (por Instância)</w:t>
      </w:r>
    </w:p>
    <w:p w:rsidR="00D87CDE" w:rsidRDefault="00AC602F">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D87CDE" w:rsidRDefault="00D87CDE">
      <w:pPr>
        <w:pStyle w:val="ProductList-Body"/>
      </w:pPr>
    </w:p>
    <w:p w:rsidR="00D87CDE" w:rsidRDefault="00AC602F">
      <w:pPr>
        <w:pStyle w:val="ProductList-ClauseHeading"/>
        <w:outlineLvl w:val="3"/>
      </w:pPr>
      <w:r>
        <w:t>Licenças de Acesso</w:t>
      </w:r>
    </w:p>
    <w:p w:rsidR="00D87CDE" w:rsidRDefault="00AC602F" w:rsidP="00AC602F">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D87CDE" w:rsidRDefault="00AC602F" w:rsidP="00AC602F">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
        <w:outlineLvl w:val="2"/>
      </w:pPr>
      <w:bookmarkStart w:id="25" w:name="_Sec543"/>
      <w:r>
        <w:t>Por Núcleo</w:t>
      </w:r>
      <w:bookmarkEnd w:id="25"/>
      <w:r>
        <w:fldChar w:fldCharType="begin"/>
      </w:r>
      <w:r>
        <w:instrText xml:space="preserve"> TC "</w:instrText>
      </w:r>
      <w:bookmarkStart w:id="26" w:name="_Toc452110449"/>
      <w:r>
        <w:instrText>Por Núcleo</w:instrText>
      </w:r>
      <w:bookmarkEnd w:id="26"/>
      <w:r>
        <w:instrText>" \l 3</w:instrText>
      </w:r>
      <w:r>
        <w:fldChar w:fldCharType="end"/>
      </w:r>
    </w:p>
    <w:p w:rsidR="00D87CDE" w:rsidRDefault="00AC602F">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D87CDE" w:rsidRDefault="00D87CDE">
      <w:pPr>
        <w:pStyle w:val="ProductList-Body"/>
      </w:pPr>
    </w:p>
    <w:p w:rsidR="00D87CDE" w:rsidRDefault="00AC602F">
      <w:pPr>
        <w:pStyle w:val="ProductList-ClauseHeading"/>
        <w:outlineLvl w:val="3"/>
      </w:pPr>
      <w:r>
        <w:t>Licenças de Servidor (por núcleo) – Licenciamento por Núcleo Físico Num Servidor</w:t>
      </w:r>
    </w:p>
    <w:p w:rsidR="00D87CDE" w:rsidRDefault="00AC602F" w:rsidP="00AC602F">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D87CDE" w:rsidRDefault="00AC602F" w:rsidP="00AC602F">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w:t>
      </w:r>
    </w:p>
    <w:p w:rsidR="00D87CDE" w:rsidRDefault="00AC602F" w:rsidP="00AC602F">
      <w:pPr>
        <w:pStyle w:val="ProductList-Bullet"/>
        <w:numPr>
          <w:ilvl w:val="0"/>
          <w:numId w:val="12"/>
        </w:numPr>
      </w:pPr>
      <w:r>
        <w:t xml:space="preserve">Para a edição Enterprise, o Cliente pode utilizar qualquer número d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 </w:t>
      </w:r>
    </w:p>
    <w:p w:rsidR="00D87CDE" w:rsidRDefault="00AC602F" w:rsidP="00AC602F">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Enterprise adicional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D87CDE" w:rsidRDefault="00AC602F" w:rsidP="00AC602F">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D87CDE" w:rsidRDefault="00D87CDE">
      <w:pPr>
        <w:pStyle w:val="ProductList-Body"/>
      </w:pPr>
    </w:p>
    <w:p w:rsidR="00D87CDE" w:rsidRDefault="00AC602F">
      <w:pPr>
        <w:pStyle w:val="ProductList-ClauseHeading"/>
        <w:outlineLvl w:val="3"/>
      </w:pPr>
      <w:r>
        <w:t>Licenças de Servidor (por núcleo) – Licenciamento por OSE Virtual Individual</w:t>
      </w:r>
    </w:p>
    <w:p w:rsidR="00D87CDE" w:rsidRDefault="00AC602F" w:rsidP="00AC602F">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 </w:t>
      </w:r>
    </w:p>
    <w:p w:rsidR="00D87CDE" w:rsidRDefault="00AC602F" w:rsidP="00AC602F">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D87CDE" w:rsidRDefault="00AC602F" w:rsidP="00AC602F">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D87CDE" w:rsidRDefault="00AC602F">
      <w:pPr>
        <w:pStyle w:val="ProductList-Offering2Heading"/>
        <w:outlineLvl w:val="2"/>
      </w:pPr>
      <w:bookmarkStart w:id="27" w:name="_Sec544"/>
      <w:r>
        <w:t>Servidores de Gestão</w:t>
      </w:r>
      <w:bookmarkEnd w:id="27"/>
      <w:r>
        <w:fldChar w:fldCharType="begin"/>
      </w:r>
      <w:r>
        <w:instrText xml:space="preserve"> TC "</w:instrText>
      </w:r>
      <w:bookmarkStart w:id="28" w:name="_Toc452110450"/>
      <w:r>
        <w:instrText>Servidores de Gestão</w:instrText>
      </w:r>
      <w:bookmarkEnd w:id="28"/>
      <w:r>
        <w:instrText>" \l 3</w:instrText>
      </w:r>
      <w:r>
        <w:fldChar w:fldCharType="end"/>
      </w:r>
    </w:p>
    <w:p w:rsidR="00D87CDE" w:rsidRDefault="00AC602F">
      <w:pPr>
        <w:pStyle w:val="ProductList-ClauseHeading"/>
        <w:outlineLvl w:val="3"/>
      </w:pPr>
      <w:r>
        <w:t>Licenças de Gestão</w:t>
      </w:r>
    </w:p>
    <w:p w:rsidR="00D87CDE" w:rsidRDefault="00AC602F">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D87CDE" w:rsidRDefault="00D87CDE">
      <w:pPr>
        <w:pStyle w:val="ProductList-Body"/>
      </w:pPr>
    </w:p>
    <w:p w:rsidR="00D87CDE" w:rsidRDefault="00AC602F">
      <w:pPr>
        <w:pStyle w:val="ProductList-ClauseHeading"/>
        <w:outlineLvl w:val="3"/>
      </w:pPr>
      <w:r>
        <w:t>Licenças de Gestão de Servidor (por processador)</w:t>
      </w:r>
    </w:p>
    <w:p w:rsidR="00D87CDE" w:rsidRDefault="00AC602F" w:rsidP="00AC602F">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D87CDE" w:rsidRDefault="00AC602F" w:rsidP="00AC602F">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w:t>
      </w:r>
    </w:p>
    <w:p w:rsidR="00D87CDE" w:rsidRDefault="00AC602F" w:rsidP="00AC602F">
      <w:pPr>
        <w:pStyle w:val="ProductList-Bullet"/>
        <w:numPr>
          <w:ilvl w:val="0"/>
          <w:numId w:val="14"/>
        </w:numPr>
      </w:pPr>
      <w:r>
        <w:t>É necessária uma Licença para cada dois processadores no Servidor Licenciado.</w:t>
      </w:r>
    </w:p>
    <w:p w:rsidR="00D87CDE" w:rsidRDefault="00AC602F" w:rsidP="00AC602F">
      <w:pPr>
        <w:pStyle w:val="ProductList-Bullet"/>
        <w:numPr>
          <w:ilvl w:val="0"/>
          <w:numId w:val="14"/>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padrão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D87CDE" w:rsidRDefault="00AC602F" w:rsidP="00AC602F">
      <w:pPr>
        <w:pStyle w:val="ProductList-Bullet"/>
        <w:numPr>
          <w:ilvl w:val="0"/>
          <w:numId w:val="14"/>
        </w:numPr>
      </w:pPr>
      <w:r>
        <w:t xml:space="preserve">As licenças de edição padrão permitem a Gestão dos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dos outros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D87CDE" w:rsidRDefault="00AC602F" w:rsidP="00AC602F">
      <w:pPr>
        <w:pStyle w:val="ProductList-Bullet"/>
        <w:numPr>
          <w:ilvl w:val="0"/>
          <w:numId w:val="14"/>
        </w:numPr>
      </w:pPr>
      <w:r>
        <w:t xml:space="preserve">O Cliente pode atribuir licenças de edição padrão adicionais ao respetivo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por Licença.</w:t>
      </w:r>
    </w:p>
    <w:p w:rsidR="00D87CDE" w:rsidRDefault="00AC602F" w:rsidP="00AC602F">
      <w:pPr>
        <w:pStyle w:val="ProductList-Bullet"/>
        <w:numPr>
          <w:ilvl w:val="0"/>
          <w:numId w:val="14"/>
        </w:numPr>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edição do centro de dados permitem utilizar o software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D87CDE" w:rsidRDefault="00D87CDE">
      <w:pPr>
        <w:pStyle w:val="ProductList-Body"/>
      </w:pPr>
    </w:p>
    <w:p w:rsidR="00D87CDE" w:rsidRDefault="00AC602F">
      <w:pPr>
        <w:pStyle w:val="ProductList-ClauseHeading"/>
        <w:outlineLvl w:val="3"/>
      </w:pPr>
      <w:r>
        <w:t>Licenças de Gestão de Cliente (por OSE ou utilizador)</w:t>
      </w:r>
    </w:p>
    <w:p w:rsidR="00D87CDE" w:rsidRDefault="00AC602F" w:rsidP="00AC602F">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D87CDE" w:rsidRDefault="00AC602F" w:rsidP="00AC602F">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D87CDE" w:rsidRDefault="00AC602F" w:rsidP="00AC602F">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D87CDE" w:rsidRDefault="00AC602F" w:rsidP="00AC602F">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do que um utilizador requer uma Licença de Gestão de Cliente de OSE ou uma Licença de Gestão de Cliente de Utilizador para cada utilizador.</w:t>
      </w:r>
    </w:p>
    <w:p w:rsidR="00D87CDE" w:rsidRDefault="00D87CDE">
      <w:pPr>
        <w:pStyle w:val="ProductList-Body"/>
      </w:pPr>
    </w:p>
    <w:p w:rsidR="00D87CDE" w:rsidRDefault="00AC602F">
      <w:pPr>
        <w:pStyle w:val="ProductList-ClauseHeading"/>
        <w:outlineLvl w:val="3"/>
      </w:pPr>
      <w:r>
        <w:t>As Licenças de Gestão não são necessárias para:</w:t>
      </w:r>
    </w:p>
    <w:p w:rsidR="00D87CDE" w:rsidRDefault="00AC602F" w:rsidP="00AC602F">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D87CDE" w:rsidRDefault="00AC602F" w:rsidP="00AC602F">
      <w:pPr>
        <w:pStyle w:val="ProductList-Bullet"/>
        <w:numPr>
          <w:ilvl w:val="0"/>
          <w:numId w:val="16"/>
        </w:numPr>
      </w:pPr>
      <w:r>
        <w:t>Qualquer um dos dispositivos da infraestrutura de rede do Cliente que funcione apenas para transmitir dados de rede e não executar software Windows Server;</w:t>
      </w:r>
    </w:p>
    <w:p w:rsidR="00D87CDE" w:rsidRDefault="00AC602F" w:rsidP="00AC602F">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D87CDE" w:rsidRDefault="00AC602F" w:rsidP="00AC602F">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D87CDE" w:rsidRDefault="00D87CDE">
      <w:pPr>
        <w:pStyle w:val="ProductList-Body"/>
      </w:pPr>
    </w:p>
    <w:p w:rsidR="00D87CDE" w:rsidRDefault="00AC602F">
      <w:pPr>
        <w:pStyle w:val="ProductList-ClauseHeading"/>
        <w:outlineLvl w:val="3"/>
      </w:pPr>
      <w:r>
        <w:t>Conjuntos de Dados</w:t>
      </w:r>
    </w:p>
    <w:p w:rsidR="00D87CDE" w:rsidRDefault="00AC602F">
      <w:pPr>
        <w:pStyle w:val="ProductList-Body"/>
      </w:pPr>
      <w:r>
        <w:t>O Cliente não poderá copiar nem distribuir nenhum conjunto de dados (ou qualquer porção de um conjunto de dados) incluído no software.</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
        <w:outlineLvl w:val="2"/>
      </w:pPr>
      <w:bookmarkStart w:id="29" w:name="_Sec545"/>
      <w:r>
        <w:t>Servidores Especializados</w:t>
      </w:r>
      <w:bookmarkEnd w:id="29"/>
      <w:r>
        <w:fldChar w:fldCharType="begin"/>
      </w:r>
      <w:r>
        <w:instrText xml:space="preserve"> TC "</w:instrText>
      </w:r>
      <w:bookmarkStart w:id="30" w:name="_Toc452110451"/>
      <w:r>
        <w:instrText>Servidores Especializados</w:instrText>
      </w:r>
      <w:bookmarkEnd w:id="30"/>
      <w:r>
        <w:instrText>" \l 3</w:instrText>
      </w:r>
      <w:r>
        <w:fldChar w:fldCharType="end"/>
      </w:r>
    </w:p>
    <w:p w:rsidR="00D87CDE" w:rsidRDefault="00AC602F">
      <w:pPr>
        <w:pStyle w:val="ProductList-ClauseHeading"/>
        <w:outlineLvl w:val="3"/>
      </w:pPr>
      <w:r>
        <w:t>Licenças de Servidor (por Instância)</w:t>
      </w:r>
    </w:p>
    <w:p w:rsidR="00D87CDE" w:rsidRDefault="00AC602F">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D87CDE" w:rsidRDefault="00AC602F">
      <w:pPr>
        <w:pStyle w:val="ProductList-Offering2Heading"/>
        <w:outlineLvl w:val="2"/>
      </w:pPr>
      <w:bookmarkStart w:id="31" w:name="_Sec546"/>
      <w:r>
        <w:t>Ferramentas de Programador</w:t>
      </w:r>
      <w:bookmarkEnd w:id="31"/>
      <w:r>
        <w:fldChar w:fldCharType="begin"/>
      </w:r>
      <w:r>
        <w:instrText xml:space="preserve"> TC "</w:instrText>
      </w:r>
      <w:bookmarkStart w:id="32" w:name="_Toc452110452"/>
      <w:r>
        <w:instrText>Ferramentas de Programador</w:instrText>
      </w:r>
      <w:bookmarkEnd w:id="32"/>
      <w:r>
        <w:instrText>" \l 3</w:instrText>
      </w:r>
      <w:r>
        <w:fldChar w:fldCharType="end"/>
      </w:r>
    </w:p>
    <w:p w:rsidR="00D87CDE" w:rsidRDefault="00AC602F">
      <w:pPr>
        <w:pStyle w:val="ProductList-ClauseHeading"/>
        <w:outlineLvl w:val="3"/>
      </w:pPr>
      <w:r>
        <w:t>Licenças de Utilizador</w:t>
      </w:r>
    </w:p>
    <w:p w:rsidR="00D87CDE" w:rsidRDefault="00AC602F" w:rsidP="00AC602F">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rsidR="00D87CDE" w:rsidRDefault="00AC602F" w:rsidP="00AC602F">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D87CDE" w:rsidRDefault="00AC602F" w:rsidP="00AC602F">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D87CDE" w:rsidRDefault="00D87CDE">
      <w:pPr>
        <w:pStyle w:val="ProductList-Body"/>
      </w:pPr>
    </w:p>
    <w:p w:rsidR="00D87CDE" w:rsidRDefault="00AC602F">
      <w:pPr>
        <w:pStyle w:val="ProductList-ClauseHeading"/>
        <w:outlineLvl w:val="3"/>
      </w:pPr>
      <w:r>
        <w:t>Termos de Licenciamento Adicionais para Subscrições de MSDN</w:t>
      </w:r>
    </w:p>
    <w:p w:rsidR="00D87CDE" w:rsidRDefault="00AC602F">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 Qualquer serviço online disponibilizado com a subscrição de MSDN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D87CDE" w:rsidRDefault="00D87CDE">
      <w:pPr>
        <w:pStyle w:val="ProductList-Body"/>
      </w:pPr>
    </w:p>
    <w:p w:rsidR="00D87CDE" w:rsidRDefault="00AC602F">
      <w:pPr>
        <w:pStyle w:val="ProductList-SubClauseHeading"/>
        <w:outlineLvl w:val="4"/>
      </w:pPr>
      <w:r>
        <w:t>Execução do Software nos Serviços da Plataforma Microsoft Azure</w:t>
      </w:r>
    </w:p>
    <w:p w:rsidR="00D87CDE" w:rsidRDefault="00AC602F" w:rsidP="00AC602F">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 </w:t>
      </w:r>
    </w:p>
    <w:p w:rsidR="00D87CDE" w:rsidRDefault="00AC602F" w:rsidP="00AC602F">
      <w:pPr>
        <w:pStyle w:val="ProductList-Bullet"/>
        <w:numPr>
          <w:ilvl w:val="1"/>
          <w:numId w:val="18"/>
        </w:numPr>
      </w:pPr>
      <w:r>
        <w:t>A utilização do Software permanece sujeita aos termos e condições do contrato de licenciamento em volume do Cliente e quaisquer termos fornecidos com o Software.</w:t>
      </w:r>
    </w:p>
    <w:p w:rsidR="00D87CDE" w:rsidRDefault="00AC602F" w:rsidP="00AC602F">
      <w:pPr>
        <w:pStyle w:val="ProductList-Bullet"/>
        <w:numPr>
          <w:ilvl w:val="1"/>
          <w:numId w:val="18"/>
        </w:numPr>
      </w:pPr>
      <w:r>
        <w:t xml:space="preserve">Os Termos de Modelo de Licenciamento de Ferramentas de Programador aplicam-se à utilização do Software e às ofertas Azure MSDN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D87CDE" w:rsidRDefault="00D87CDE">
      <w:pPr>
        <w:pStyle w:val="ProductList-BodyIndented"/>
      </w:pPr>
    </w:p>
    <w:p w:rsidR="00D87CDE" w:rsidRDefault="00AC602F">
      <w:pPr>
        <w:pStyle w:val="ProductList-SubClauseHeading"/>
        <w:outlineLvl w:val="4"/>
      </w:pPr>
      <w:r>
        <w:t>Requisitos Adicionais</w:t>
      </w:r>
    </w:p>
    <w:p w:rsidR="00D87CDE" w:rsidRDefault="00AC602F">
      <w:pPr>
        <w:pStyle w:val="ProductList-BodyIndented"/>
      </w:pPr>
      <w:r>
        <w:t>Para executar o Software nos Serviços da Plataforma Microsoft Azure, o Cliente tem de ativar a respetiva subscrição de MSDN ligando a respetiva conta Microsoft à subscrição de MSDN.</w:t>
      </w:r>
    </w:p>
    <w:p w:rsidR="00D87CDE" w:rsidRDefault="00D87CDE">
      <w:pPr>
        <w:pStyle w:val="ProductList-BodyIndented"/>
      </w:pPr>
    </w:p>
    <w:p w:rsidR="00D87CDE" w:rsidRDefault="00AC602F">
      <w:pPr>
        <w:pStyle w:val="ProductList-SubClauseHeading"/>
        <w:outlineLvl w:val="4"/>
      </w:pPr>
      <w:r>
        <w:t>Testes de Compatibilidade e Comentários</w:t>
      </w:r>
    </w:p>
    <w:p w:rsidR="00D87CDE" w:rsidRDefault="00AC602F">
      <w:pPr>
        <w:pStyle w:val="ProductList-BodyIndented"/>
      </w:pPr>
      <w:r>
        <w:t>Os utilizadores finais do Cliente podem aceder ao Software, e aos serviços online disponibilizados com a subscrição de MSDN do Cliente, efetuar testes de compatibilidade ou para fornecer comentários sobre os respetivos programas.</w:t>
      </w:r>
    </w:p>
    <w:p w:rsidR="00D87CDE" w:rsidRDefault="00D87CDE">
      <w:pPr>
        <w:pStyle w:val="ProductList-BodyIndented"/>
      </w:pPr>
    </w:p>
    <w:p w:rsidR="00D87CDE" w:rsidRDefault="00AC602F">
      <w:pPr>
        <w:pStyle w:val="ProductList-SubClauseHeading"/>
        <w:outlineLvl w:val="4"/>
      </w:pPr>
      <w:r>
        <w:t>Serviços de Ambiente de Trabalho Remoto do Windows Server 2012 R2</w:t>
      </w:r>
    </w:p>
    <w:p w:rsidR="00D87CDE" w:rsidRDefault="00AC602F">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D87CDE" w:rsidRDefault="00D87CDE">
      <w:pPr>
        <w:pStyle w:val="ProductList-BodyIndented"/>
      </w:pPr>
    </w:p>
    <w:p w:rsidR="00D87CDE" w:rsidRDefault="00AC602F">
      <w:pPr>
        <w:pStyle w:val="ProductList-SubClauseHeading"/>
        <w:outlineLvl w:val="4"/>
      </w:pPr>
      <w:r>
        <w:t>Produto do Windows Embedded</w:t>
      </w:r>
    </w:p>
    <w:p w:rsidR="00D87CDE" w:rsidRDefault="00AC602F">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D87CDE" w:rsidRDefault="00D87CDE">
      <w:pPr>
        <w:pStyle w:val="ProductList-BodyIndented"/>
        <w:jc w:val="right"/>
      </w:pPr>
    </w:p>
    <w:tbl>
      <w:tblPr>
        <w:tblStyle w:val="PURTable0"/>
        <w:tblW w:w="0" w:type="dxa"/>
        <w:tblLook w:val="04A0" w:firstRow="1" w:lastRow="0" w:firstColumn="1" w:lastColumn="0" w:noHBand="0" w:noVBand="1"/>
      </w:tblPr>
      <w:tblGrid>
        <w:gridCol w:w="1044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Indented"/>
      </w:pPr>
    </w:p>
    <w:p w:rsidR="00D87CDE" w:rsidRDefault="00D87CDE">
      <w:pPr>
        <w:sectPr w:rsidR="00D87CDE">
          <w:headerReference w:type="default" r:id="rId35"/>
          <w:footerReference w:type="default" r:id="rId36"/>
          <w:type w:val="continuous"/>
          <w:pgSz w:w="12240" w:h="15840" w:code="1"/>
          <w:pgMar w:top="1170" w:right="720" w:bottom="720" w:left="720" w:header="432" w:footer="288" w:gutter="0"/>
          <w:cols w:space="360"/>
        </w:sectPr>
      </w:pPr>
    </w:p>
    <w:p w:rsidR="00D87CDE" w:rsidRDefault="00AC602F">
      <w:pPr>
        <w:pStyle w:val="ProductList-SectionHeading"/>
        <w:pageBreakBefore/>
        <w:outlineLvl w:val="0"/>
      </w:pPr>
      <w:bookmarkStart w:id="33" w:name="_Sec547"/>
      <w:bookmarkEnd w:id="11"/>
      <w:r>
        <w:t>Software</w:t>
      </w:r>
      <w:r>
        <w:fldChar w:fldCharType="begin"/>
      </w:r>
      <w:r>
        <w:instrText xml:space="preserve"> TC "</w:instrText>
      </w:r>
      <w:bookmarkStart w:id="34" w:name="_Toc452110453"/>
      <w:r>
        <w:instrText>Software</w:instrText>
      </w:r>
      <w:bookmarkEnd w:id="34"/>
      <w:r>
        <w:instrText>" \l 1</w:instrText>
      </w:r>
      <w:r>
        <w:fldChar w:fldCharType="end"/>
      </w:r>
    </w:p>
    <w:p w:rsidR="00D87CDE" w:rsidRDefault="00AC602F">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10454"/>
      <w:r>
        <w:instrText>Advanced Threat Analytics</w:instrText>
      </w:r>
      <w:bookmarkEnd w:id="36"/>
      <w:r>
        <w:instrText>" \l 2</w:instrText>
      </w:r>
      <w:r>
        <w:fldChar w:fldCharType="end"/>
      </w:r>
    </w:p>
    <w:p w:rsidR="00D87CDE" w:rsidRDefault="00AC602F">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7">
              <w:r>
                <w:rPr>
                  <w:color w:val="000000"/>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3"/>
      </w:pPr>
      <w:r>
        <w:t>2.1 Restrições de País</w:t>
      </w:r>
    </w:p>
    <w:p w:rsidR="00D87CDE" w:rsidRDefault="00AC602F">
      <w:pPr>
        <w:pStyle w:val="ProductList-Body"/>
      </w:pPr>
      <w:r>
        <w:t>O Cliente não pode transferir o Advanced Threat Analytics 2016 para utilização ou distribuição na República Popular da China.</w:t>
      </w:r>
    </w:p>
    <w:p w:rsidR="00D87CDE" w:rsidRDefault="00AC602F">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09"/>
        <w:gridCol w:w="3593"/>
        <w:gridCol w:w="358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Software Adicional: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D87CDE" w:rsidRDefault="00AC602F">
            <w:pPr>
              <w:pStyle w:val="ProductList-TableBody"/>
            </w:pPr>
            <w:r>
              <w:t xml:space="preserve">Licença Equivalente de Licença de Gestão (consulte o </w:t>
            </w:r>
            <w:hyperlink w:anchor="_Sec591">
              <w:r>
                <w:rPr>
                  <w:color w:val="00467F"/>
                  <w:u w:val="single"/>
                </w:rPr>
                <w:t>Apêndice A</w:t>
              </w:r>
            </w:hyperlink>
            <w:r>
              <w:t>)</w:t>
            </w:r>
          </w:p>
        </w:tc>
      </w:tr>
    </w:tbl>
    <w:p w:rsidR="00D87CDE" w:rsidRDefault="00D87CDE">
      <w:pPr>
        <w:pStyle w:val="ProductList-Body"/>
      </w:pPr>
    </w:p>
    <w:p w:rsidR="00D87CDE" w:rsidRDefault="00AC602F">
      <w:pPr>
        <w:pStyle w:val="ProductList-ClauseHeading"/>
        <w:outlineLvl w:val="3"/>
      </w:pPr>
      <w:r>
        <w:t>3.2 Utilização que Requer uma Licença de Gestão</w:t>
      </w:r>
    </w:p>
    <w:p w:rsidR="00D87CDE" w:rsidRDefault="00AC602F">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D87CDE" w:rsidRDefault="00D87CDE">
      <w:pPr>
        <w:pStyle w:val="ProductList-Body"/>
      </w:pPr>
    </w:p>
    <w:p w:rsidR="00D87CDE" w:rsidRDefault="00AC602F">
      <w:pPr>
        <w:pStyle w:val="ProductList-ClauseHeading"/>
        <w:outlineLvl w:val="3"/>
      </w:pPr>
      <w:r>
        <w:t>3.3 Bibliotecas licenciadas ao abrigo da GNU Lesser General Public License</w:t>
      </w:r>
    </w:p>
    <w:p w:rsidR="00D87CDE" w:rsidRDefault="00AC602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rsidR="00D87CDE" w:rsidRDefault="00AC602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1HeadingNoBorder"/>
        <w:outlineLvl w:val="1"/>
      </w:pPr>
      <w:bookmarkStart w:id="41" w:name="_Sec592"/>
      <w:r>
        <w:t>BizTalk</w:t>
      </w:r>
      <w:bookmarkEnd w:id="41"/>
      <w:r>
        <w:fldChar w:fldCharType="begin"/>
      </w:r>
      <w:r>
        <w:instrText xml:space="preserve"> TC "</w:instrText>
      </w:r>
      <w:bookmarkStart w:id="42" w:name="_Toc452110455"/>
      <w:r>
        <w:instrText>BizTalk</w:instrText>
      </w:r>
      <w:bookmarkEnd w:id="42"/>
      <w:r>
        <w:instrText>" \l 2</w:instrText>
      </w:r>
      <w:r>
        <w:fldChar w:fldCharType="end"/>
      </w:r>
    </w:p>
    <w:p w:rsidR="00D87CDE" w:rsidRDefault="00AC602F">
      <w:pPr>
        <w:pStyle w:val="ProductList-Offering1SubSection"/>
        <w:outlineLvl w:val="2"/>
      </w:pPr>
      <w:bookmarkStart w:id="43" w:name="_Sec593"/>
      <w:r>
        <w:t>1. Disponibilidade do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87CDE" w:rsidRDefault="00AC602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87CDE" w:rsidRDefault="00AC602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87CDE" w:rsidRDefault="00AC602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87CDE" w:rsidRDefault="00AC60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CDE" w:rsidRDefault="00AC602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CDE" w:rsidRDefault="00AC602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CDE" w:rsidRDefault="00AC602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CDE" w:rsidRDefault="00AC602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CDE" w:rsidRDefault="00AC602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7CDE" w:rsidRDefault="00AC602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CDE" w:rsidRDefault="00AC602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CDE" w:rsidRDefault="00AC60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CDE" w:rsidRDefault="00AC60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7CDE" w:rsidRDefault="00AC60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none" w:sz="4" w:space="0" w:color="6E6E6E"/>
              <w:right w:val="none" w:sz="4" w:space="0" w:color="6E6E6E"/>
            </w:tcBorders>
          </w:tcPr>
          <w:p w:rsidR="00D87CDE" w:rsidRDefault="00AC602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87CDE" w:rsidRDefault="00AC602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87CDE" w:rsidRDefault="00D87CD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87CDE" w:rsidRDefault="00D87CD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2"/>
      </w:pPr>
      <w:bookmarkStart w:id="45" w:name="_Sec595"/>
      <w:r>
        <w:t>3. Direitos de Utilização</w:t>
      </w:r>
      <w:bookmarkEnd w:id="45"/>
    </w:p>
    <w:tbl>
      <w:tblPr>
        <w:tblStyle w:val="PURTable"/>
        <w:tblW w:w="0" w:type="dxa"/>
        <w:tblLook w:val="04A0" w:firstRow="1" w:lastRow="0" w:firstColumn="1" w:lastColumn="0" w:noHBand="0" w:noVBand="1"/>
      </w:tblPr>
      <w:tblGrid>
        <w:gridCol w:w="3609"/>
        <w:gridCol w:w="3593"/>
        <w:gridCol w:w="358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Tudo (exceto Developer), </w:t>
            </w:r>
            <w:hyperlink w:anchor="_Sec546">
              <w:r>
                <w:rPr>
                  <w:color w:val="00467F"/>
                  <w:u w:val="single"/>
                </w:rPr>
                <w:t>Ferramentas de Programador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 (exceto Developer)</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 e Office Web Apps - Tudo (exceto Developer)</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3"/>
      </w:pPr>
      <w:r>
        <w:t>3.1 BizTalk Server 2013 R2 Branch e Standard Edition</w:t>
      </w:r>
    </w:p>
    <w:p w:rsidR="00D87CDE" w:rsidRDefault="00AC602F">
      <w:pPr>
        <w:pStyle w:val="ProductList-Body"/>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D87CDE" w:rsidRDefault="00D87CDE">
      <w:pPr>
        <w:pStyle w:val="ProductList-Body"/>
      </w:pPr>
    </w:p>
    <w:p w:rsidR="00D87CDE" w:rsidRDefault="00AC602F">
      <w:pPr>
        <w:pStyle w:val="ProductList-ClauseHeading"/>
        <w:outlineLvl w:val="3"/>
      </w:pPr>
      <w:r>
        <w:t>3.2 BizTalk Server 2013 R2 Branch Edition</w:t>
      </w:r>
    </w:p>
    <w:p w:rsidR="00D87CDE" w:rsidRDefault="00AC602F">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D87CDE" w:rsidRDefault="00AC602F" w:rsidP="00AC602F">
      <w:pPr>
        <w:pStyle w:val="ProductList-Bullet"/>
        <w:numPr>
          <w:ilvl w:val="0"/>
          <w:numId w:val="19"/>
        </w:numPr>
      </w:pPr>
      <w:r>
        <w:t xml:space="preserve">agir como o nó central num modelo de rede “hub and spoke”, </w:t>
      </w:r>
    </w:p>
    <w:p w:rsidR="00D87CDE" w:rsidRDefault="00AC602F" w:rsidP="00AC602F">
      <w:pPr>
        <w:pStyle w:val="ProductList-Bullet"/>
        <w:numPr>
          <w:ilvl w:val="0"/>
          <w:numId w:val="19"/>
        </w:numPr>
      </w:pPr>
      <w:r>
        <w:t xml:space="preserve">centralizar comunicações para toda a empresa com outros Servidores ou dispositivos; ou </w:t>
      </w:r>
    </w:p>
    <w:p w:rsidR="00D87CDE" w:rsidRDefault="00AC602F" w:rsidP="00AC602F">
      <w:pPr>
        <w:pStyle w:val="ProductList-Bullet"/>
        <w:numPr>
          <w:ilvl w:val="0"/>
          <w:numId w:val="19"/>
        </w:numPr>
      </w:pPr>
      <w:r>
        <w:t>automatizar processos de negócios em departamentos, unidades de negócios ou filiais.</w:t>
      </w:r>
    </w:p>
    <w:p w:rsidR="00D87CDE" w:rsidRDefault="00D87CDE">
      <w:pPr>
        <w:pStyle w:val="ProductList-Body"/>
      </w:pPr>
    </w:p>
    <w:p w:rsidR="00D87CDE" w:rsidRDefault="00AC602F">
      <w:pPr>
        <w:pStyle w:val="ProductList-ClauseHeading"/>
        <w:outlineLvl w:val="3"/>
      </w:pPr>
      <w:r>
        <w:t>3.3 Fator Associado ao Núcleo</w:t>
      </w:r>
    </w:p>
    <w:p w:rsidR="00D87CDE" w:rsidRDefault="00AC602F">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BizTalk Server.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é equivalente ao número de Núcleos Físicos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38">
        <w:r>
          <w:rPr>
            <w:color w:val="00467F"/>
            <w:u w:val="single"/>
          </w:rPr>
          <w:t>http://go.microsoft.com/fwlink/?LinkID=229882</w:t>
        </w:r>
      </w:hyperlink>
      <w:r>
        <w:rPr>
          <w:u w:val="single"/>
        </w:rPr>
        <w:t>.</w:t>
      </w:r>
    </w:p>
    <w:p w:rsidR="00D87CDE" w:rsidRDefault="00D87CDE">
      <w:pPr>
        <w:pStyle w:val="ProductList-Body"/>
      </w:pPr>
    </w:p>
    <w:p w:rsidR="00D87CDE" w:rsidRDefault="00AC602F">
      <w:pPr>
        <w:pStyle w:val="ProductList-ClauseHeading"/>
        <w:outlineLvl w:val="3"/>
      </w:pPr>
      <w:r>
        <w:t>3.4 Software Adicional</w:t>
      </w:r>
    </w:p>
    <w:tbl>
      <w:tblPr>
        <w:tblStyle w:val="PURTable"/>
        <w:tblW w:w="0" w:type="dxa"/>
        <w:tblLook w:val="04A0" w:firstRow="1" w:lastRow="0" w:firstColumn="1" w:lastColumn="0" w:noHBand="0" w:noVBand="1"/>
      </w:tblPr>
      <w:tblGrid>
        <w:gridCol w:w="3586"/>
        <w:gridCol w:w="3603"/>
        <w:gridCol w:w="3601"/>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Esquemas e Modelos Relacionados com BizTalk Server</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BAM Event APIs e Intercetores e Ferramentas de Administração</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Ferramentas de Desenvolvimento</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MQHelper.dll</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SOAP Receive Adapter</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UDDI</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pPr>
          </w:p>
        </w:tc>
      </w:tr>
    </w:tbl>
    <w:p w:rsidR="00D87CDE" w:rsidRDefault="00AC602F">
      <w:pPr>
        <w:pStyle w:val="ProductList-Offering1SubSection"/>
        <w:outlineLvl w:val="2"/>
      </w:pPr>
      <w:bookmarkStart w:id="46" w:name="_Sec596"/>
      <w:r>
        <w:t>4. Software Assurance</w:t>
      </w:r>
      <w:bookmarkEnd w:id="46"/>
    </w:p>
    <w:p w:rsidR="00D87CDE" w:rsidRDefault="00D87CDE">
      <w:pPr>
        <w:pStyle w:val="ProductList-Body"/>
      </w:pPr>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3"/>
      </w:pPr>
      <w:r>
        <w:t>4.1 Biz Talk Server 2013 R2 Enterprise – Virtualização Ilimitada</w:t>
      </w:r>
    </w:p>
    <w:p w:rsidR="00D87CDE" w:rsidRDefault="00AC602F">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1HeadingNoBorder"/>
        <w:outlineLvl w:val="1"/>
      </w:pPr>
      <w:bookmarkStart w:id="47" w:name="_Sec597"/>
      <w:r>
        <w:t>CAL Suites</w:t>
      </w:r>
      <w:bookmarkEnd w:id="47"/>
      <w:r>
        <w:fldChar w:fldCharType="begin"/>
      </w:r>
      <w:r>
        <w:instrText xml:space="preserve"> TC "</w:instrText>
      </w:r>
      <w:bookmarkStart w:id="48" w:name="_Toc452110456"/>
      <w:r>
        <w:instrText>CAL Suites</w:instrText>
      </w:r>
      <w:bookmarkEnd w:id="48"/>
      <w:r>
        <w:instrText>" \l 2</w:instrText>
      </w:r>
      <w:r>
        <w:fldChar w:fldCharType="end"/>
      </w:r>
    </w:p>
    <w:p w:rsidR="00D87CDE" w:rsidRDefault="00AC602F">
      <w:pPr>
        <w:pStyle w:val="ProductList-Offering1SubSection"/>
        <w:outlineLvl w:val="2"/>
      </w:pPr>
      <w:bookmarkStart w:id="49" w:name="_Sec868"/>
      <w:r>
        <w:t>1. Disponibilidade do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 xml:space="preserve">Core CAL Suite Bridge para Enterprise Mobility Suite </w:t>
            </w:r>
            <w:r>
              <w:fldChar w:fldCharType="begin"/>
            </w:r>
            <w:r>
              <w:instrText xml:space="preserve"> XE "Core CAL Suite Bridge para Enterprise Mobility Suite " </w:instrText>
            </w:r>
            <w:r>
              <w:fldChar w:fldCharType="end"/>
            </w:r>
            <w:r>
              <w:t>(SL de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Enterprise CAL Bridge para Enterprise Mobility Suite de SA Existente</w:t>
            </w:r>
            <w:r>
              <w:fldChar w:fldCharType="begin"/>
            </w:r>
            <w:r>
              <w:instrText xml:space="preserve"> XE "Enterprise CAL Bridge para Enterprise Mobility Suite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D87CDE">
      <w:pPr>
        <w:pStyle w:val="ProductList-Body"/>
      </w:pPr>
    </w:p>
    <w:p w:rsidR="00D87CDE" w:rsidRDefault="00AC602F">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658"/>
        <w:gridCol w:w="3570"/>
        <w:gridCol w:w="3562"/>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w:t>
            </w:r>
            <w:hyperlink w:anchor="_Sec572">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3"/>
      </w:pPr>
      <w:r>
        <w:t>2.1 Processo para Determinar os Direitos de Utilização Aplicáveis para CAL Suites</w:t>
      </w:r>
    </w:p>
    <w:p w:rsidR="00D87CDE" w:rsidRDefault="00AC602F">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D87CDE" w:rsidRDefault="00D87CDE">
      <w:pPr>
        <w:pStyle w:val="ProductList-Body"/>
      </w:pPr>
    </w:p>
    <w:p w:rsidR="00D87CDE" w:rsidRDefault="00AC602F">
      <w:pPr>
        <w:pStyle w:val="ProductList-ClauseHeading"/>
        <w:outlineLvl w:val="3"/>
      </w:pPr>
      <w:r>
        <w:t>2.2 Componentes de CAL Suite</w:t>
      </w:r>
    </w:p>
    <w:p w:rsidR="00D87CDE" w:rsidRDefault="00AC602F">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D87CDE" w:rsidRDefault="00D87CDE">
      <w:pPr>
        <w:pStyle w:val="ProductList-Body"/>
      </w:pPr>
    </w:p>
    <w:p w:rsidR="00D87CDE" w:rsidRDefault="00AC602F">
      <w:pPr>
        <w:pStyle w:val="ProductList-ClauseHeading"/>
        <w:outlineLvl w:val="3"/>
      </w:pPr>
      <w:r>
        <w:t>2.3 Serviços Online Incluídos com Enterprise CAL Suite</w:t>
      </w:r>
    </w:p>
    <w:p w:rsidR="00D87CDE" w:rsidRDefault="00AC602F">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0">
        <w:r>
          <w:rPr>
            <w:color w:val="00467F"/>
            <w:u w:val="single"/>
          </w:rPr>
          <w:t>http://go.microsoft.com/?linkid=9839207</w:t>
        </w:r>
      </w:hyperlink>
      <w:r>
        <w:t>.</w:t>
      </w:r>
    </w:p>
    <w:p w:rsidR="00D87CDE" w:rsidRDefault="00D87CDE">
      <w:pPr>
        <w:pStyle w:val="ProductList-Body"/>
      </w:pPr>
    </w:p>
    <w:p w:rsidR="00D87CDE" w:rsidRDefault="00AC602F">
      <w:pPr>
        <w:pStyle w:val="ProductList-ClauseHeading"/>
        <w:outlineLvl w:val="3"/>
      </w:pPr>
      <w:r>
        <w:t>2.4 CAL Suite Bridge para O365, para O365 e Intune e para Intune</w:t>
      </w:r>
    </w:p>
    <w:p w:rsidR="00D87CDE" w:rsidRDefault="00AC602F">
      <w:pPr>
        <w:pStyle w:val="ProductList-SubClauseHeading"/>
        <w:outlineLvl w:val="4"/>
      </w:pPr>
      <w:r>
        <w:t>2.4.1 Requisitos para CAL Suite Bridges</w:t>
      </w:r>
    </w:p>
    <w:p w:rsidR="00D87CDE" w:rsidRDefault="00AC602F">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D87CDE" w:rsidRDefault="00D87CDE">
      <w:pPr>
        <w:pStyle w:val="ProductList-BodyIndented"/>
      </w:pPr>
    </w:p>
    <w:p w:rsidR="00D87CDE" w:rsidRDefault="00AC602F">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Serviços Online Qualificáveis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365 Enterprise E1</w:t>
            </w:r>
            <w:r>
              <w:fldChar w:fldCharType="begin"/>
            </w:r>
            <w:r>
              <w:instrText xml:space="preserve"> XE "Office 365 Enterprise E1" </w:instrText>
            </w:r>
            <w:r>
              <w:fldChar w:fldCharType="end"/>
            </w:r>
            <w:r>
              <w:t>, ou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D87CDE" w:rsidRDefault="00AC602F">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D87CDE" w:rsidRDefault="00AC602F">
            <w:pPr>
              <w:pStyle w:val="ProductList-TableBody"/>
            </w:pPr>
            <w:r>
              <w:t>Office 365 Enterprise E4 e Microsoft Intune</w:t>
            </w:r>
            <w:r>
              <w:fldChar w:fldCharType="begin"/>
            </w:r>
            <w:r>
              <w:instrText xml:space="preserve"> XE "Office 365 Enterprise E4 e Microsoft Intune" </w:instrText>
            </w:r>
            <w:r>
              <w:fldChar w:fldCharType="end"/>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Intune</w:t>
            </w:r>
            <w:r>
              <w:fldChar w:fldCharType="begin"/>
            </w:r>
            <w:r>
              <w:instrText xml:space="preserve"> XE "Microsoft Intune" </w:instrText>
            </w:r>
            <w:r>
              <w:fldChar w:fldCharType="end"/>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Mobility Suite</w:t>
            </w:r>
            <w:r>
              <w:fldChar w:fldCharType="begin"/>
            </w:r>
            <w:r>
              <w:instrText xml:space="preserve"> XE "Enterprise Mobility Suite" </w:instrText>
            </w:r>
            <w:r>
              <w:fldChar w:fldCharType="end"/>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365 Enterprise E3</w:t>
            </w:r>
            <w:r>
              <w:fldChar w:fldCharType="begin"/>
            </w:r>
            <w:r>
              <w:instrText xml:space="preserve"> XE "Office 365 Enterprise E3" </w:instrText>
            </w:r>
            <w:r>
              <w:fldChar w:fldCharType="end"/>
            </w:r>
            <w:r>
              <w:t>, ou</w:t>
            </w:r>
          </w:p>
          <w:p w:rsidR="00D87CDE" w:rsidRDefault="00AC602F">
            <w:pPr>
              <w:pStyle w:val="ProductList-TableBody"/>
            </w:pPr>
            <w:r>
              <w:t>Office 365 Enterprise E4</w:t>
            </w:r>
            <w:r>
              <w:fldChar w:fldCharType="begin"/>
            </w:r>
            <w:r>
              <w:instrText xml:space="preserve"> XE "Office 365 Enterprise E4" </w:instrText>
            </w:r>
            <w:r>
              <w:fldChar w:fldCharType="end"/>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D87CDE" w:rsidRDefault="00AC602F">
            <w:pPr>
              <w:pStyle w:val="ProductList-TableBody"/>
            </w:pPr>
            <w:r>
              <w:t>Office 365 Enterprise E4 e Microsoft Intune</w:t>
            </w:r>
            <w:r>
              <w:fldChar w:fldCharType="begin"/>
            </w:r>
            <w:r>
              <w:instrText xml:space="preserve"> XE "Office 365 Enterprise E4 e Microsoft Intune" </w:instrText>
            </w:r>
            <w:r>
              <w:fldChar w:fldCharType="end"/>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Intune</w:t>
            </w:r>
            <w:r>
              <w:fldChar w:fldCharType="begin"/>
            </w:r>
            <w:r>
              <w:instrText xml:space="preserve"> XE "Microsoft Intune" </w:instrText>
            </w:r>
            <w:r>
              <w:fldChar w:fldCharType="end"/>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Mobility Suite</w:t>
            </w:r>
            <w:r>
              <w:fldChar w:fldCharType="begin"/>
            </w:r>
            <w:r>
              <w:instrText xml:space="preserve"> XE "Enterprise Mobility Suite" </w:instrText>
            </w:r>
            <w:r>
              <w:fldChar w:fldCharType="end"/>
            </w:r>
          </w:p>
        </w:tc>
      </w:tr>
    </w:tbl>
    <w:p w:rsidR="00D87CDE" w:rsidRDefault="00AC602F">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rsidR="00D87CDE" w:rsidRDefault="00D87CDE">
      <w:pPr>
        <w:pStyle w:val="ProductList-BodyIndented"/>
      </w:pPr>
    </w:p>
    <w:p w:rsidR="00D87CDE" w:rsidRDefault="00AC602F">
      <w:pPr>
        <w:pStyle w:val="ProductList-SubClauseHeading"/>
        <w:outlineLvl w:val="4"/>
      </w:pPr>
      <w:r>
        <w:t>2.4.2 CALs Só para Estudantes (Licença Academic Open e Academic Select)</w:t>
      </w:r>
    </w:p>
    <w:p w:rsidR="00D87CDE" w:rsidRDefault="00AC602F">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D87CDE" w:rsidRDefault="00AC602F">
      <w:pPr>
        <w:pStyle w:val="ProductList-Offering1SubSection"/>
        <w:outlineLvl w:val="2"/>
      </w:pPr>
      <w:bookmarkStart w:id="51" w:name="_Sec600"/>
      <w:r>
        <w:t>3. Direitos de Utilização</w:t>
      </w:r>
      <w:bookmarkEnd w:id="51"/>
    </w:p>
    <w:tbl>
      <w:tblPr>
        <w:tblStyle w:val="PURTable"/>
        <w:tblW w:w="0" w:type="dxa"/>
        <w:tblLook w:val="04A0" w:firstRow="1" w:lastRow="0" w:firstColumn="1" w:lastColumn="0" w:noHBand="0" w:noVBand="1"/>
      </w:tblPr>
      <w:tblGrid>
        <w:gridCol w:w="3625"/>
        <w:gridCol w:w="3596"/>
        <w:gridCol w:w="356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Software Adicional: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Tecnologias Incluídas: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p w:rsidR="00D87CDE" w:rsidRDefault="00AC602F">
      <w:pPr>
        <w:pStyle w:val="ProductList-ClauseHeading"/>
        <w:outlineLvl w:val="3"/>
      </w:pPr>
      <w:r>
        <w:t>4.1 Direitos Expandidos de Utilização para Clientes de Enterprise Cloud Suite</w:t>
      </w:r>
    </w:p>
    <w:p w:rsidR="00D87CDE" w:rsidRDefault="00AC602F">
      <w:pPr>
        <w:pStyle w:val="ProductList-Body"/>
      </w:pPr>
      <w:r>
        <w:t>Para os clientes qualificáveis, o Enterprise Cloud Suite ou a combinação de Office 365 e Enterprise Mobility Suite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rsidR="00D87CDE" w:rsidRDefault="00D87CDE">
      <w:pPr>
        <w:pStyle w:val="ProductList-Body"/>
      </w:pPr>
    </w:p>
    <w:p w:rsidR="00D87CDE" w:rsidRDefault="00AC602F">
      <w:pPr>
        <w:pStyle w:val="ProductList-Body"/>
      </w:pPr>
      <w:r>
        <w:t>Os Clientes Qualificáveis licenciados para o Enterprise Cloud Suite ou a combinação do Office 365 e do Enterprise Mobility Suite têm o mesmo acesso ao Arquivo de Exchange Online para Exchange Server que o Enterprise CAL Suite fornecido.</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110457"/>
      <w:r>
        <w:instrText>Core Infrastructure Server (CIS) Suite</w:instrText>
      </w:r>
      <w:bookmarkEnd w:id="54"/>
      <w:r>
        <w:instrText>" \l 2</w:instrText>
      </w:r>
      <w:r>
        <w:fldChar w:fldCharType="end"/>
      </w:r>
    </w:p>
    <w:p w:rsidR="00D87CDE" w:rsidRDefault="00AC602F">
      <w:pPr>
        <w:pStyle w:val="ProductList-Offering1SubSection"/>
        <w:outlineLvl w:val="2"/>
      </w:pPr>
      <w:bookmarkStart w:id="55" w:name="_Sec603"/>
      <w:r>
        <w:t>1. Disponibilidade do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2"/>
      </w:pPr>
      <w:bookmarkStart w:id="56" w:name="_Sec604"/>
      <w:r>
        <w:t>2. Condições do Produto</w:t>
      </w:r>
      <w:bookmarkEnd w:id="56"/>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2"/>
      </w:pPr>
      <w:bookmarkStart w:id="57" w:name="_Sec605"/>
      <w:r>
        <w:t>3. Direitos de Utilização</w:t>
      </w:r>
      <w:bookmarkEnd w:id="57"/>
    </w:p>
    <w:tbl>
      <w:tblPr>
        <w:tblStyle w:val="PURTable"/>
        <w:tblW w:w="0" w:type="dxa"/>
        <w:tblLook w:val="04A0" w:firstRow="1" w:lastRow="0" w:firstColumn="1" w:lastColumn="0" w:noHBand="0" w:noVBand="1"/>
      </w:tblPr>
      <w:tblGrid>
        <w:gridCol w:w="3610"/>
        <w:gridCol w:w="3603"/>
        <w:gridCol w:w="357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Software Adicional: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Tecnologias Incluídas: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3"/>
      </w:pPr>
      <w:r>
        <w:t>3.1 Direitos de Utilização Aplicáveis</w:t>
      </w:r>
    </w:p>
    <w:p w:rsidR="00D87CDE" w:rsidRDefault="00AC602F">
      <w:pPr>
        <w:pStyle w:val="ProductList-Body"/>
      </w:pPr>
      <w:r>
        <w:t xml:space="preserve">O acesso e a utilização por parte do Cliente do software CIS são regidos pelos Termos de Licenciamento aplicáveis para os Produtos individuais que compõem o software CIS, conforme modificado pelos presentes Termos de Licenciamento. É necessária uma Licença CIS Suite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O Cliente terá de licenciar cada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Execute software CIS.</w:t>
      </w:r>
    </w:p>
    <w:p w:rsidR="00D87CDE" w:rsidRDefault="00D87CDE">
      <w:pPr>
        <w:pStyle w:val="ProductList-Body"/>
      </w:pPr>
    </w:p>
    <w:p w:rsidR="00D87CDE" w:rsidRDefault="00AC602F">
      <w:pPr>
        <w:pStyle w:val="ProductList-ClauseHeading"/>
        <w:outlineLvl w:val="3"/>
      </w:pPr>
      <w:r>
        <w:t>3.2 Software Incluído com CIS Suite Standard</w:t>
      </w:r>
    </w:p>
    <w:p w:rsidR="00D87CDE" w:rsidRDefault="00AC602F">
      <w:pPr>
        <w:pStyle w:val="ProductList-Body"/>
      </w:pPr>
      <w:r>
        <w:t xml:space="preserve">O CIS Suite Standard inclui as versões mais recentes do Windows Server Standard e System Center Standard.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momento: </w:t>
      </w:r>
    </w:p>
    <w:p w:rsidR="00D87CDE" w:rsidRDefault="00AC602F" w:rsidP="00AC602F">
      <w:pPr>
        <w:pStyle w:val="ProductList-Bullet"/>
        <w:numPr>
          <w:ilvl w:val="0"/>
          <w:numId w:val="20"/>
        </w:numPr>
      </w:pPr>
      <w:r>
        <w:t xml:space="preserve">Uma Instância do Windows Server Standard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p>
    <w:p w:rsidR="00D87CDE" w:rsidRDefault="00AC602F" w:rsidP="00AC602F">
      <w:pPr>
        <w:pStyle w:val="ProductList-Bullet"/>
        <w:numPr>
          <w:ilvl w:val="0"/>
          <w:numId w:val="20"/>
        </w:numPr>
      </w:pPr>
      <w:r>
        <w:t xml:space="preserve">Uma Instância do Windows Server Standard em cada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no máximo</w:t>
      </w:r>
    </w:p>
    <w:p w:rsidR="00D87CDE" w:rsidRDefault="00AC602F">
      <w:pPr>
        <w:pStyle w:val="ProductList-Body"/>
      </w:pPr>
      <w:r>
        <w:t xml:space="preserve">Se o Cliente utilizar o número máximo permitido de Instâncias em Execução, 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D87CDE" w:rsidRDefault="00D87CDE">
      <w:pPr>
        <w:pStyle w:val="ProductList-Body"/>
      </w:pPr>
    </w:p>
    <w:p w:rsidR="00D87CDE" w:rsidRDefault="00AC602F">
      <w:pPr>
        <w:pStyle w:val="ProductList-ClauseHeading"/>
        <w:outlineLvl w:val="3"/>
      </w:pPr>
      <w:r>
        <w:t>3.3 Software Incluído com CIS Suite Datacenter</w:t>
      </w:r>
    </w:p>
    <w:p w:rsidR="00D87CDE" w:rsidRDefault="00AC602F">
      <w:pPr>
        <w:pStyle w:val="ProductList-Body"/>
      </w:pPr>
      <w:r>
        <w:t xml:space="preserve">O CIS Suite Datacenter inclui as versões mais recentes do Windows Server Datacenter e System Center Datacenter.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com CIS Suite Datacenter.</w:t>
      </w:r>
    </w:p>
    <w:p w:rsidR="00D87CDE" w:rsidRDefault="00D87CDE">
      <w:pPr>
        <w:pStyle w:val="ProductList-Body"/>
      </w:pPr>
    </w:p>
    <w:p w:rsidR="00D87CDE" w:rsidRDefault="00AC602F">
      <w:pPr>
        <w:pStyle w:val="ProductList-ClauseHeading"/>
        <w:outlineLvl w:val="3"/>
      </w:pPr>
      <w:r>
        <w:t>3.4 Licença de Gestão</w:t>
      </w:r>
    </w:p>
    <w:p w:rsidR="00D87CDE" w:rsidRDefault="00AC602F">
      <w:pPr>
        <w:pStyle w:val="ProductList-Body"/>
      </w:pPr>
      <w:r>
        <w:t xml:space="preserve">Para fins de aplicação dos Termos de Licenciamento do System Center para a utilização por parte do Cliente do software CIS, será considerado que o Cliente atribuiu ao Servidor Licenciado um número de Licenças do System Center igual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atribuídas ao Servidor.</w:t>
      </w:r>
    </w:p>
    <w:p w:rsidR="00D87CDE" w:rsidRDefault="00D87CDE">
      <w:pPr>
        <w:pStyle w:val="ProductList-Body"/>
      </w:pPr>
    </w:p>
    <w:p w:rsidR="00D87CDE" w:rsidRDefault="00AC602F">
      <w:pPr>
        <w:pStyle w:val="ProductList-ClauseHeading"/>
        <w:outlineLvl w:val="3"/>
      </w:pPr>
      <w:r>
        <w:t>3.5 Termos Adicionais</w:t>
      </w:r>
    </w:p>
    <w:p w:rsidR="00D87CDE" w:rsidRDefault="00AC602F">
      <w:pPr>
        <w:pStyle w:val="ProductList-Body"/>
      </w:pPr>
      <w:r>
        <w:t>O Cliente poderá executar uma versão anterior de quaisquer Produtos individuais incluídos no CIS Suite conforme permitido nos termos de licenciamento para esse Produto nos Termos de Produto.</w:t>
      </w:r>
    </w:p>
    <w:p w:rsidR="00D87CDE" w:rsidRDefault="00D87CDE">
      <w:pPr>
        <w:pStyle w:val="ProductList-Body"/>
      </w:pPr>
    </w:p>
    <w:p w:rsidR="00D87CDE" w:rsidRDefault="00AC602F">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D87CDE" w:rsidRDefault="00D87CDE">
      <w:pPr>
        <w:pStyle w:val="ProductList-Body"/>
      </w:pPr>
    </w:p>
    <w:p w:rsidR="00D87CDE" w:rsidRDefault="00AC602F">
      <w:pPr>
        <w:pStyle w:val="ProductList-ClauseHeading"/>
        <w:outlineLvl w:val="3"/>
      </w:pPr>
      <w:r>
        <w:t>3.6 Direito Especial de Mudança para a Versão Anterior – Core Infrastructure Server Suite Standard</w:t>
      </w:r>
    </w:p>
    <w:p w:rsidR="00D87CDE" w:rsidRDefault="00AC602F">
      <w:pPr>
        <w:pStyle w:val="ProductList-Body"/>
      </w:pPr>
      <w:r>
        <w:t xml:space="preserve">Para qualquer Servidor corretamente licenciado para CIS Suite Standard, os Clientes poderão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D87CDE" w:rsidRDefault="00AC602F">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3"/>
      </w:pPr>
      <w:r>
        <w:t>4.1 Inscrição Servidor e Nuvem (SCE) - Direito de gerir OSEs no Microsoft Azure ao abrigo de Licenças de CIS</w:t>
      </w:r>
    </w:p>
    <w:p w:rsidR="00D87CDE" w:rsidRDefault="00AC602F">
      <w:pPr>
        <w:pStyle w:val="ProductList-Body"/>
      </w:pPr>
      <w:r>
        <w:t>Os Clientes da SCE que tenham cumprido os requisitos da cobertura da inscrição e estejam licenciados para a utilização de Core Infrastructure Server (CIS) Suite para gerir OSEs nos próprios centros de dados também poderão utilizar o software System Center licenciado ao abrigo de CIS para gerir os respetivos OSEs Virtuais qualificáveis em execução no Microsoft Azure. Para cada Licença de CIS coberta por uma SCE de um cliente, o cliente pode gerir até 10 OSEs Virtuais qualificáveis em execução no Microsoft Azure. Os OSEs Virtuais incluem:</w:t>
      </w:r>
    </w:p>
    <w:p w:rsidR="00D87CDE" w:rsidRDefault="00AC602F">
      <w:pPr>
        <w:pStyle w:val="ProductList-Body"/>
        <w:ind w:left="720"/>
      </w:pPr>
      <w:r>
        <w:t>• Instâncias da Máquina Virtual do Windows Server (incluindo as Instâncias implementadas no Azure HUB)</w:t>
      </w:r>
    </w:p>
    <w:p w:rsidR="00D87CDE" w:rsidRDefault="00AC602F">
      <w:pPr>
        <w:pStyle w:val="ProductList-Body"/>
        <w:ind w:left="720"/>
      </w:pPr>
      <w:r>
        <w:t>• Instâncias de Serviços em Nuvem (função Web e função de trabalho)</w:t>
      </w:r>
    </w:p>
    <w:p w:rsidR="00D87CDE" w:rsidRDefault="00AC602F">
      <w:pPr>
        <w:pStyle w:val="ProductList-Body"/>
        <w:ind w:left="720"/>
      </w:pPr>
      <w:r>
        <w:t>• Contas de Armazenamento</w:t>
      </w:r>
    </w:p>
    <w:p w:rsidR="00D87CDE" w:rsidRDefault="00AC602F">
      <w:pPr>
        <w:pStyle w:val="ProductList-Body"/>
        <w:ind w:left="720"/>
      </w:pPr>
      <w:r>
        <w:t>• Bases de Dados SQL</w:t>
      </w:r>
    </w:p>
    <w:p w:rsidR="00D87CDE" w:rsidRDefault="00AC602F">
      <w:pPr>
        <w:pStyle w:val="ProductList-Body"/>
        <w:ind w:left="720"/>
      </w:pPr>
      <w:r>
        <w:t>• Instâncias de Web sites</w:t>
      </w:r>
    </w:p>
    <w:p w:rsidR="00D87CDE" w:rsidRDefault="00D87CDE">
      <w:pPr>
        <w:pStyle w:val="ProductList-Body"/>
      </w:pPr>
    </w:p>
    <w:p w:rsidR="00D87CDE" w:rsidRDefault="00AC602F">
      <w:pPr>
        <w:pStyle w:val="ProductList-ClauseHeading"/>
        <w:outlineLvl w:val="3"/>
      </w:pPr>
      <w:r>
        <w:t>4.2 Microsoft Azure Hybrid Use Benefit</w:t>
      </w:r>
    </w:p>
    <w:p w:rsidR="00D87CDE" w:rsidRDefault="00AC602F">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D87CDE" w:rsidRDefault="00D87CDE">
      <w:pPr>
        <w:pStyle w:val="ProductList-Body"/>
      </w:pPr>
    </w:p>
    <w:p w:rsidR="00D87CDE" w:rsidRDefault="00AC602F">
      <w:pPr>
        <w:pStyle w:val="ProductList-ClauseHeading"/>
        <w:outlineLvl w:val="3"/>
      </w:pPr>
      <w:r>
        <w:t>4.3 Oferta de Renovação da Cobertura Software Assurance para Windows Server e System Center</w:t>
      </w:r>
    </w:p>
    <w:p w:rsidR="00D87CDE" w:rsidRDefault="00AC602F">
      <w:pPr>
        <w:pStyle w:val="ProductList-Body"/>
      </w:pPr>
      <w:r>
        <w:t xml:space="preserve">Os clientes que tenham licenças com cobertura SA ativa para os Produtos na coluna A da tabela abaixo poderão, quando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D87C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Coluna B</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Windows Server Standard </w:t>
            </w:r>
            <w:r>
              <w:fldChar w:fldCharType="begin"/>
            </w:r>
            <w:r>
              <w:instrText xml:space="preserve"> XE "Windows Server Standard " </w:instrText>
            </w:r>
            <w:r>
              <w:fldChar w:fldCharType="end"/>
            </w:r>
          </w:p>
          <w:p w:rsidR="00D87CDE" w:rsidRDefault="00AC602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Infrastructure Server Suite Standard</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Server Datacenter</w:t>
            </w:r>
            <w:r>
              <w:fldChar w:fldCharType="begin"/>
            </w:r>
            <w:r>
              <w:instrText xml:space="preserve"> XE "Windows Server Datacenter" </w:instrText>
            </w:r>
            <w:r>
              <w:fldChar w:fldCharType="end"/>
            </w:r>
          </w:p>
          <w:p w:rsidR="00D87CDE" w:rsidRDefault="00AC602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Infrastructure Server Suite Datacenter</w:t>
            </w:r>
          </w:p>
        </w:tc>
      </w:tr>
    </w:tbl>
    <w:p w:rsidR="00D87CDE" w:rsidRDefault="00AC602F">
      <w:pPr>
        <w:pStyle w:val="ProductList-Body"/>
      </w:pPr>
      <w:r>
        <w:t xml:space="preserve">Para cada conjunto composto por cada uma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numa célula na Coluna A da tabela acima, os clientes poderão adquirir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correspondente na Coluna B. 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D87CDE" w:rsidRDefault="00D87CDE">
      <w:pPr>
        <w:pStyle w:val="ProductList-Body"/>
      </w:pPr>
    </w:p>
    <w:p w:rsidR="00D87CDE" w:rsidRDefault="00AC602F">
      <w:pPr>
        <w:pStyle w:val="ProductList-ClauseHeading"/>
        <w:outlineLvl w:val="3"/>
      </w:pPr>
      <w:r>
        <w:t>4.4 Direitos e Benefícios do Software Assurance para Licenças de Subscrição</w:t>
      </w:r>
    </w:p>
    <w:p w:rsidR="00D87CDE" w:rsidRDefault="00AC602F">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1HeadingNoBorder"/>
        <w:outlineLvl w:val="1"/>
      </w:pPr>
      <w:bookmarkStart w:id="59" w:name="_Sec862"/>
      <w:r>
        <w:t>Forefront</w:t>
      </w:r>
      <w:bookmarkEnd w:id="59"/>
      <w:r>
        <w:fldChar w:fldCharType="begin"/>
      </w:r>
      <w:r>
        <w:instrText xml:space="preserve"> TC "</w:instrText>
      </w:r>
      <w:bookmarkStart w:id="60" w:name="_Toc452110458"/>
      <w:r>
        <w:instrText>Forefront</w:instrText>
      </w:r>
      <w:bookmarkEnd w:id="60"/>
      <w:r>
        <w:instrText>" \l 2</w:instrText>
      </w:r>
      <w:r>
        <w:fldChar w:fldCharType="end"/>
      </w:r>
    </w:p>
    <w:p w:rsidR="00D87CDE" w:rsidRDefault="00AC602F">
      <w:pPr>
        <w:pStyle w:val="ProductList-Offering1SubSection"/>
        <w:outlineLvl w:val="2"/>
      </w:pPr>
      <w:bookmarkStart w:id="61" w:name="_Sec863"/>
      <w:r>
        <w:t>1. Disponibilidade do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BFBFBF"/>
              <w:bottom w:val="none" w:sz="4" w:space="0" w:color="BFBFBF"/>
              <w:right w:val="none" w:sz="4" w:space="0" w:color="6E6E6E"/>
            </w:tcBorders>
          </w:tcPr>
          <w:p w:rsidR="00D87CDE" w:rsidRDefault="00AC602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87CDE" w:rsidRDefault="00AC602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87CDE" w:rsidRDefault="00AC602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87CDE" w:rsidRDefault="00AC602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87CDE" w:rsidRDefault="00AC60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3"/>
      </w:pPr>
      <w:r>
        <w:t>2.1 Forefront Identity Manager 2010 – Windows Live Edition</w:t>
      </w:r>
    </w:p>
    <w:p w:rsidR="00D87CDE" w:rsidRDefault="00AC602F">
      <w:pPr>
        <w:pStyle w:val="ProductList-Body"/>
      </w:pPr>
      <w:r>
        <w:t>Forefront Identity Manager 2010 – Windows Live Edition é a versão seguinte para o Identity Lifecycle Manager 2007 – Windows Live Edition.</w:t>
      </w:r>
    </w:p>
    <w:p w:rsidR="00D87CDE" w:rsidRDefault="00AC602F">
      <w:pPr>
        <w:pStyle w:val="ProductList-Offering1SubSection"/>
        <w:outlineLvl w:val="2"/>
      </w:pPr>
      <w:bookmarkStart w:id="63" w:name="_Sec865"/>
      <w:r>
        <w:t>3. Direitos de Utilização</w:t>
      </w:r>
      <w:bookmarkEnd w:id="63"/>
    </w:p>
    <w:tbl>
      <w:tblPr>
        <w:tblStyle w:val="PURTable"/>
        <w:tblW w:w="0" w:type="dxa"/>
        <w:tblLook w:val="04A0" w:firstRow="1" w:lastRow="0" w:firstColumn="1" w:lastColumn="0" w:noHBand="0" w:noVBand="1"/>
      </w:tblPr>
      <w:tblGrid>
        <w:gridCol w:w="3610"/>
        <w:gridCol w:w="3603"/>
        <w:gridCol w:w="357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Tecnologias Incluídas: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3"/>
      </w:pPr>
      <w:r>
        <w:t>3.1 Importar dados de identidade: Forefront Identity Manager 2010 R2 Windows Live Edition</w:t>
      </w:r>
    </w:p>
    <w:p w:rsidR="00D87CDE" w:rsidRDefault="00AC602F">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D87CDE" w:rsidRDefault="00D87CDE">
      <w:pPr>
        <w:pStyle w:val="ProductList-Body"/>
      </w:pPr>
    </w:p>
    <w:p w:rsidR="00D87CDE" w:rsidRDefault="00AC602F">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D87C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7CDE" w:rsidRDefault="00D87CDE">
            <w:pPr>
              <w:pStyle w:val="ProductList-TableBody"/>
            </w:pPr>
          </w:p>
        </w:tc>
      </w:tr>
    </w:tbl>
    <w:p w:rsidR="00D87CDE" w:rsidRDefault="00AC602F">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GroupHeading"/>
        <w:outlineLvl w:val="1"/>
      </w:pPr>
      <w:bookmarkStart w:id="65" w:name="_Sec608"/>
      <w:r>
        <w:t>Microsoft Dynamics</w:t>
      </w:r>
      <w:bookmarkEnd w:id="65"/>
      <w:r>
        <w:fldChar w:fldCharType="begin"/>
      </w:r>
      <w:r>
        <w:instrText xml:space="preserve"> TC "</w:instrText>
      </w:r>
      <w:bookmarkStart w:id="66" w:name="_Toc452110459"/>
      <w:r>
        <w:instrText>Microsoft Dynamics</w:instrText>
      </w:r>
      <w:bookmarkEnd w:id="66"/>
      <w:r>
        <w:instrText>" \l 2</w:instrText>
      </w:r>
      <w:r>
        <w:fldChar w:fldCharType="end"/>
      </w:r>
    </w:p>
    <w:p w:rsidR="00D87CDE" w:rsidRDefault="00AC602F">
      <w:pPr>
        <w:pStyle w:val="ProductList-Offering2HeadingNoBorder"/>
        <w:outlineLvl w:val="2"/>
      </w:pPr>
      <w:bookmarkStart w:id="67" w:name="_Sec609"/>
      <w:r>
        <w:t>Microsoft Dynamics AX</w:t>
      </w:r>
      <w:bookmarkEnd w:id="67"/>
      <w:r>
        <w:fldChar w:fldCharType="begin"/>
      </w:r>
      <w:r>
        <w:instrText xml:space="preserve"> TC "</w:instrText>
      </w:r>
      <w:bookmarkStart w:id="68" w:name="_Toc452110460"/>
      <w:r>
        <w:instrText>Microsoft Dynamics AX</w:instrText>
      </w:r>
      <w:bookmarkEnd w:id="68"/>
      <w:r>
        <w:instrText>" \l 3</w:instrText>
      </w:r>
      <w:r>
        <w:fldChar w:fldCharType="end"/>
      </w:r>
    </w:p>
    <w:p w:rsidR="00D87CDE" w:rsidRDefault="00AC602F">
      <w:pPr>
        <w:pStyle w:val="ProductList-Offering1SubSection"/>
        <w:outlineLvl w:val="3"/>
      </w:pPr>
      <w:bookmarkStart w:id="69" w:name="_Sec678"/>
      <w:r>
        <w:t>1. Disponibilidade do Programa</w:t>
      </w:r>
      <w:bookmarkEnd w:id="69"/>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3"/>
      </w:pPr>
      <w:bookmarkStart w:id="70" w:name="_Sec734"/>
      <w:r>
        <w:t>2. Condições do Produto</w:t>
      </w:r>
      <w:bookmarkEnd w:id="70"/>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3"/>
      </w:pPr>
      <w:bookmarkStart w:id="71" w:name="_Sec789"/>
      <w:r>
        <w:t>3. Direitos de Utilização</w:t>
      </w:r>
      <w:bookmarkEnd w:id="71"/>
    </w:p>
    <w:tbl>
      <w:tblPr>
        <w:tblStyle w:val="PURTable"/>
        <w:tblW w:w="0" w:type="dxa"/>
        <w:tblLook w:val="04A0" w:firstRow="1" w:lastRow="0" w:firstColumn="1" w:lastColumn="0" w:noHBand="0" w:noVBand="1"/>
      </w:tblPr>
      <w:tblGrid>
        <w:gridCol w:w="3610"/>
        <w:gridCol w:w="3603"/>
        <w:gridCol w:w="357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Tecnologias Incluídas: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Acesso a Software de Servidor</w:t>
      </w:r>
    </w:p>
    <w:p w:rsidR="00D87CDE" w:rsidRDefault="00AC602F">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576"/>
        <w:gridCol w:w="3612"/>
        <w:gridCol w:w="3602"/>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D87CDE" w:rsidRDefault="00AC602F">
            <w:pPr>
              <w:pStyle w:val="ProductList-TableBody"/>
            </w:pPr>
            <w:r>
              <w:t>Microsoft Dynamics AX Self Serve (SL de Utilizador)</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87CDE" w:rsidRDefault="00AC602F">
            <w:pPr>
              <w:pStyle w:val="ProductList-TableBody"/>
            </w:pPr>
            <w:r>
              <w:t>Microsoft Dynamics AX Task (SL de Utilizador)</w:t>
            </w:r>
          </w:p>
        </w:tc>
        <w:tc>
          <w:tcPr>
            <w:tcW w:w="4040" w:type="dxa"/>
            <w:tcBorders>
              <w:top w:val="single" w:sz="4" w:space="0" w:color="000000"/>
              <w:left w:val="none" w:sz="4" w:space="0" w:color="000000"/>
              <w:bottom w:val="single" w:sz="4" w:space="0" w:color="000000"/>
              <w:right w:val="single" w:sz="4" w:space="0" w:color="000000"/>
            </w:tcBorders>
          </w:tcPr>
          <w:p w:rsidR="00D87CDE" w:rsidRDefault="00AC602F">
            <w:pPr>
              <w:pStyle w:val="ProductList-TableBody"/>
            </w:pPr>
            <w:r>
              <w:t>Microsoft Dynamics AX Enterprise (SL de Utilizador)</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87CDE" w:rsidRDefault="00AC602F">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
      </w:pPr>
    </w:p>
    <w:p w:rsidR="00D87CDE" w:rsidRDefault="00AC602F">
      <w:pPr>
        <w:pStyle w:val="ProductList-SubClauseHeading"/>
        <w:outlineLvl w:val="5"/>
      </w:pPr>
      <w:r>
        <w:t>3.1.1 Funcionalidade Adicional Associada a Microsoft Dynamics AX 2012 R3 Task CAL</w:t>
      </w:r>
    </w:p>
    <w:p w:rsidR="00D87CDE" w:rsidRDefault="00AC602F">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63"/>
        <w:gridCol w:w="3490"/>
        <w:gridCol w:w="347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D87CDE" w:rsidRDefault="00AC602F">
            <w:pPr>
              <w:pStyle w:val="ProductList-TableBody"/>
            </w:pPr>
            <w:r>
              <w:t>Microsoft Dynamics AX 2012 R3 Task Additive CAL</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87CDE" w:rsidRDefault="00AC602F">
            <w:pPr>
              <w:pStyle w:val="ProductList-TableBody"/>
            </w:pPr>
            <w:r>
              <w:t>Microsoft Dynamics AX Task (SL de Utilizador)</w:t>
            </w:r>
          </w:p>
        </w:tc>
        <w:tc>
          <w:tcPr>
            <w:tcW w:w="4040" w:type="dxa"/>
            <w:tcBorders>
              <w:top w:val="single" w:sz="4" w:space="0" w:color="000000"/>
              <w:left w:val="none" w:sz="4" w:space="0" w:color="000000"/>
              <w:bottom w:val="single" w:sz="4" w:space="0" w:color="000000"/>
              <w:right w:val="single" w:sz="4" w:space="0" w:color="000000"/>
            </w:tcBorders>
          </w:tcPr>
          <w:p w:rsidR="00D87CDE" w:rsidRDefault="00AC602F">
            <w:pPr>
              <w:pStyle w:val="ProductList-TableBody"/>
            </w:pPr>
            <w:r>
              <w:t>Microsoft Dynamics AX Enterprise (SL de Utilizador)</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87CDE" w:rsidRDefault="00AC602F">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Indented"/>
      </w:pPr>
    </w:p>
    <w:p w:rsidR="00D87CDE" w:rsidRDefault="00AC602F">
      <w:pPr>
        <w:pStyle w:val="ProductList-SubClauseHeading"/>
        <w:outlineLvl w:val="5"/>
      </w:pPr>
      <w:r>
        <w:t>3.1.2 Funcionalidade Adicional Associada a Microsoft Dynamics AX 2012 R3 Functional CAL</w:t>
      </w:r>
    </w:p>
    <w:p w:rsidR="00D87CDE" w:rsidRDefault="00AC602F">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68"/>
        <w:gridCol w:w="3481"/>
        <w:gridCol w:w="3481"/>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D87CDE" w:rsidRDefault="00AC602F">
            <w:pPr>
              <w:pStyle w:val="ProductList-TableBody"/>
            </w:pPr>
            <w:r>
              <w:t>Microsoft Dynamics AX 2012 R3 Functional Additive CAL</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87CDE" w:rsidRDefault="00AC602F">
            <w:pPr>
              <w:pStyle w:val="ProductList-TableBody"/>
            </w:pPr>
            <w:r>
              <w:t>Microsoft Dynamics AX Enterprise (SL de Utilizador)</w:t>
            </w:r>
          </w:p>
        </w:tc>
        <w:tc>
          <w:tcPr>
            <w:tcW w:w="4040" w:type="dxa"/>
            <w:tcBorders>
              <w:top w:val="single" w:sz="4" w:space="0" w:color="000000"/>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Indented"/>
      </w:pPr>
    </w:p>
    <w:p w:rsidR="00D87CDE" w:rsidRDefault="00AC602F">
      <w:pPr>
        <w:pStyle w:val="ProductList-SubClauseHeading"/>
        <w:outlineLvl w:val="5"/>
      </w:pPr>
      <w:r>
        <w:t>3.1.3 Funcionalidade Adicional Associada a Microsoft Dynamics AX 2012 R3 Enterprise CAL</w:t>
      </w:r>
    </w:p>
    <w:p w:rsidR="00D87CDE" w:rsidRDefault="00AC602F">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68"/>
        <w:gridCol w:w="3482"/>
        <w:gridCol w:w="34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D87CDE" w:rsidRDefault="00AC602F">
            <w:pPr>
              <w:pStyle w:val="ProductList-TableBody"/>
            </w:pPr>
            <w:r>
              <w:t>Microsoft Dynamics AX 2012 R3 Enterprise Additive CAL</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87CDE" w:rsidRDefault="00AC602F">
            <w:pPr>
              <w:pStyle w:val="ProductList-TableBody"/>
            </w:pPr>
            <w:r>
              <w:t>Microsoft Dynamics AX Enterprise (SL de Utilizador)</w:t>
            </w:r>
          </w:p>
        </w:tc>
        <w:tc>
          <w:tcPr>
            <w:tcW w:w="4040" w:type="dxa"/>
            <w:tcBorders>
              <w:top w:val="single" w:sz="4" w:space="0" w:color="000000"/>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Indented"/>
      </w:pPr>
    </w:p>
    <w:p w:rsidR="00D87CDE" w:rsidRDefault="00AC602F">
      <w:pPr>
        <w:pStyle w:val="ProductList-ClauseHeading"/>
        <w:outlineLvl w:val="4"/>
      </w:pPr>
      <w:r>
        <w:t>3.2 Direito de Modificação</w:t>
      </w:r>
    </w:p>
    <w:p w:rsidR="00D87CDE" w:rsidRDefault="00AC602F">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D87CDE" w:rsidRDefault="00D87CDE">
      <w:pPr>
        <w:pStyle w:val="ProductList-Body"/>
      </w:pPr>
    </w:p>
    <w:p w:rsidR="00D87CDE" w:rsidRDefault="00AC602F">
      <w:pPr>
        <w:pStyle w:val="ProductList-ClauseHeading"/>
        <w:outlineLvl w:val="4"/>
      </w:pPr>
      <w:r>
        <w:t>3.3 Dynamics AX Standard Commerce Server Core -- Fator Associado ao Núcleo</w:t>
      </w:r>
    </w:p>
    <w:p w:rsidR="00D87CDE" w:rsidRDefault="00AC602F">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Dynamics AX Standard Commerce Server Core. 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44">
        <w:r>
          <w:rPr>
            <w:color w:val="00467F"/>
            <w:u w:val="single"/>
          </w:rPr>
          <w:t>http://go.microsoft.com/fwlink/?LinkID=229882</w:t>
        </w:r>
      </w:hyperlink>
      <w:r>
        <w:t>.</w:t>
      </w:r>
    </w:p>
    <w:p w:rsidR="00D87CDE" w:rsidRDefault="00D87CDE">
      <w:pPr>
        <w:pStyle w:val="ProductList-Body"/>
      </w:pPr>
    </w:p>
    <w:p w:rsidR="00D87CDE" w:rsidRDefault="00AC602F">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D87CDE">
            <w:pPr>
              <w:pStyle w:val="ProductList-TableBody"/>
            </w:pPr>
          </w:p>
        </w:tc>
      </w:tr>
    </w:tbl>
    <w:p w:rsidR="00D87CDE" w:rsidRDefault="00AC602F">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4.1 Localização e Atualizações</w:t>
      </w:r>
    </w:p>
    <w:p w:rsidR="00D87CDE" w:rsidRDefault="00AC602F">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73" w:name="_Sec610"/>
      <w:r>
        <w:t>Microsoft Dynamics CRM</w:t>
      </w:r>
      <w:bookmarkEnd w:id="73"/>
      <w:r>
        <w:fldChar w:fldCharType="begin"/>
      </w:r>
      <w:r>
        <w:instrText xml:space="preserve"> TC "</w:instrText>
      </w:r>
      <w:bookmarkStart w:id="74" w:name="_Toc452110461"/>
      <w:r>
        <w:instrText>Microsoft Dynamics CRM</w:instrText>
      </w:r>
      <w:bookmarkEnd w:id="74"/>
      <w:r>
        <w:instrText>" \l 3</w:instrText>
      </w:r>
      <w:r>
        <w:fldChar w:fldCharType="end"/>
      </w:r>
    </w:p>
    <w:p w:rsidR="00D87CDE" w:rsidRDefault="00AC602F">
      <w:pPr>
        <w:pStyle w:val="ProductList-Offering1SubSection"/>
        <w:outlineLvl w:val="3"/>
      </w:pPr>
      <w:bookmarkStart w:id="75" w:name="_Sec679"/>
      <w:r>
        <w:t>1. Disponibilidade do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CRM 2016 Essentials CAL</w:t>
            </w:r>
            <w:r>
              <w:fldChar w:fldCharType="begin"/>
            </w:r>
            <w:r>
              <w:instrText xml:space="preserve"> XE "Microsoft Dynamics CRM 2016 Essentials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 xml:space="preserve">Microsoft Dynamics CRM 2016 Basic CAL </w:t>
            </w:r>
            <w:r>
              <w:fldChar w:fldCharType="begin"/>
            </w:r>
            <w:r>
              <w:instrText xml:space="preserve"> XE "Microsoft Dynamics CRM 2016 Basic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CAL Adicional de Microsoft Dynamics CRM 2016 Basic</w:t>
            </w:r>
            <w:r>
              <w:fldChar w:fldCharType="begin"/>
            </w:r>
            <w:r>
              <w:instrText xml:space="preserve"> XE "CAL Adicional de Microsoft Dynamics CRM 2016 Basic"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3"/>
      </w:pPr>
      <w:bookmarkStart w:id="76" w:name="_Sec735"/>
      <w:r>
        <w:t>2. Condições do Produto</w:t>
      </w:r>
      <w:bookmarkEnd w:id="76"/>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3"/>
      </w:pPr>
      <w:bookmarkStart w:id="77" w:name="_Sec790"/>
      <w:r>
        <w:t>3. Direitos de Utilização</w:t>
      </w:r>
      <w:bookmarkEnd w:id="77"/>
    </w:p>
    <w:tbl>
      <w:tblPr>
        <w:tblStyle w:val="PURTable"/>
        <w:tblW w:w="0" w:type="dxa"/>
        <w:tblLook w:val="04A0" w:firstRow="1" w:lastRow="0" w:firstColumn="1" w:lastColumn="0" w:noHBand="0" w:noVBand="1"/>
      </w:tblPr>
      <w:tblGrid>
        <w:gridCol w:w="3616"/>
        <w:gridCol w:w="3600"/>
        <w:gridCol w:w="357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Especializado</w:t>
              </w:r>
            </w:hyperlink>
            <w:r>
              <w:t xml:space="preserve"> - Workgroup Server apenas</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exceto para os contratantes ou agentes do Cliente ou das respetivas Empresas Afiliadas; são necessárias CALs para acesso através de Clientes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Tecnologias Incluídas: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Acesso a Software de Servidor</w:t>
      </w:r>
    </w:p>
    <w:p w:rsidR="00D87CDE" w:rsidRDefault="00AC602F">
      <w:pPr>
        <w:pStyle w:val="ProductList-Body"/>
      </w:pPr>
      <w:r>
        <w:t>Direitos de acesso total: atividades, notas, entidades personalizadas, contas, contactos</w:t>
      </w:r>
    </w:p>
    <w:tbl>
      <w:tblPr>
        <w:tblStyle w:val="PURTable"/>
        <w:tblW w:w="0" w:type="dxa"/>
        <w:tblLook w:val="04A0" w:firstRow="1" w:lastRow="0" w:firstColumn="1" w:lastColumn="0" w:noHBand="0" w:noVBand="1"/>
      </w:tblPr>
      <w:tblGrid>
        <w:gridCol w:w="3574"/>
        <w:gridCol w:w="3600"/>
        <w:gridCol w:w="3616"/>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CDE" w:rsidRDefault="00AC602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87CDE" w:rsidRDefault="00AC602F">
            <w:pPr>
              <w:pStyle w:val="ProductList-TableBody"/>
            </w:pPr>
            <w:r>
              <w:t>CAL Essencial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D87CDE" w:rsidRDefault="00AC602F">
            <w:pPr>
              <w:pStyle w:val="ProductList-TableBody"/>
            </w:pPr>
            <w:r>
              <w:t>Microsoft Dynamics CRM Online Essential (SL de Utilizador)</w:t>
            </w:r>
          </w:p>
        </w:tc>
      </w:tr>
      <w:tr w:rsidR="00D87C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7CDE" w:rsidRDefault="00AC602F">
            <w:pPr>
              <w:pStyle w:val="ProductList-TableBody"/>
            </w:pPr>
            <w:r>
              <w:t>Microsoft Dynamics CRM Online Basic (SL de Utilizador)</w:t>
            </w:r>
          </w:p>
        </w:tc>
        <w:tc>
          <w:tcPr>
            <w:tcW w:w="4040" w:type="dxa"/>
            <w:tcBorders>
              <w:top w:val="none" w:sz="4" w:space="0" w:color="000000"/>
              <w:left w:val="none" w:sz="4" w:space="0" w:color="000000"/>
              <w:bottom w:val="none" w:sz="4" w:space="0" w:color="000000"/>
              <w:right w:val="single" w:sz="4" w:space="0" w:color="000000"/>
            </w:tcBorders>
          </w:tcPr>
          <w:p w:rsidR="00D87CDE" w:rsidRDefault="00AC602F">
            <w:pPr>
              <w:pStyle w:val="ProductList-TableBody"/>
            </w:pPr>
            <w:r>
              <w:t>Microsoft Dynamics CRM Online Professional (SL de Utilizador)</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CDE" w:rsidRDefault="00AC602F">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
      </w:pPr>
    </w:p>
    <w:p w:rsidR="00D87CDE" w:rsidRDefault="00AC602F">
      <w:pPr>
        <w:pStyle w:val="ProductList-SubClauseHeading"/>
        <w:outlineLvl w:val="5"/>
      </w:pPr>
      <w:r>
        <w:t>3.1.1 Funcionalidade Adicional Associada a Microsoft Dynamics CRM 2016 Basic Use Additive CAL</w:t>
      </w:r>
    </w:p>
    <w:p w:rsidR="00D87CDE" w:rsidRDefault="00AC602F">
      <w:pPr>
        <w:pStyle w:val="ProductList-BodyIndented"/>
      </w:pPr>
      <w:r>
        <w:t>Direitos de acesso total a casos, oportunidades, relatórios de utilizador, dashboards e gráficos. Direitos de acesso só de leitura/limitado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w:t>
      </w:r>
    </w:p>
    <w:tbl>
      <w:tblPr>
        <w:tblStyle w:val="PURTable0"/>
        <w:tblW w:w="0" w:type="dxa"/>
        <w:tblLook w:val="04A0" w:firstRow="1" w:lastRow="0" w:firstColumn="1" w:lastColumn="0" w:noHBand="0" w:noVBand="1"/>
      </w:tblPr>
      <w:tblGrid>
        <w:gridCol w:w="3461"/>
        <w:gridCol w:w="3475"/>
        <w:gridCol w:w="349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87CDE" w:rsidRDefault="00AC602F">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D87CDE" w:rsidRDefault="00AC602F">
            <w:pPr>
              <w:pStyle w:val="ProductList-TableBody"/>
            </w:pPr>
            <w:r>
              <w:t>Microsoft Dynamics CRM Online Basic (SL de Utilizador)</w:t>
            </w:r>
          </w:p>
        </w:tc>
      </w:tr>
      <w:tr w:rsidR="00D87C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7CDE" w:rsidRDefault="00AC602F">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D87CDE" w:rsidRDefault="00AC602F">
            <w:pPr>
              <w:pStyle w:val="ProductList-TableBody"/>
            </w:pPr>
            <w:r>
              <w:t>Microsoft Dynamics CRM Online Professional (SL de Utilizador)</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CDE" w:rsidRDefault="00AC602F">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Indented"/>
      </w:pPr>
    </w:p>
    <w:p w:rsidR="00D87CDE" w:rsidRDefault="00AC602F">
      <w:pPr>
        <w:pStyle w:val="ProductList-SubClauseHeading"/>
        <w:outlineLvl w:val="5"/>
      </w:pPr>
      <w:r>
        <w:t>3.1.2 Funcionalidade Adicional Associada a Microsoft Dynamics CRM 2016 Professional Use Additive CAL</w:t>
      </w:r>
    </w:p>
    <w:p w:rsidR="00D87CDE" w:rsidRDefault="00AC602F">
      <w:pPr>
        <w:pStyle w:val="ProductList-BodyIndented"/>
      </w:pPr>
      <w:r>
        <w:t>Direitos de acesso total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 Criação de fluxos de trabalho, importação de dados em massa e personalizações em qualquer entidade</w:t>
      </w:r>
    </w:p>
    <w:tbl>
      <w:tblPr>
        <w:tblStyle w:val="PURTable0"/>
        <w:tblW w:w="0" w:type="dxa"/>
        <w:tblLook w:val="04A0" w:firstRow="1" w:lastRow="0" w:firstColumn="1" w:lastColumn="0" w:noHBand="0" w:noVBand="1"/>
      </w:tblPr>
      <w:tblGrid>
        <w:gridCol w:w="3454"/>
        <w:gridCol w:w="3488"/>
        <w:gridCol w:w="348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Microsoft Dynamics CRM Online Professional (SL de Utilizador)</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Dynamics CRM Online Enterprise (SL de Utilizador)</w:t>
            </w:r>
          </w:p>
        </w:tc>
      </w:tr>
    </w:tbl>
    <w:p w:rsidR="00D87CDE" w:rsidRDefault="00D87CDE">
      <w:pPr>
        <w:pStyle w:val="ProductList-BodyIndented"/>
      </w:pPr>
    </w:p>
    <w:p w:rsidR="00D87CDE" w:rsidRDefault="00AC602F">
      <w:pPr>
        <w:pStyle w:val="ProductList-ClauseHeading"/>
        <w:outlineLvl w:val="4"/>
      </w:pPr>
      <w:r>
        <w:t>3.2 Yammer</w:t>
      </w:r>
    </w:p>
    <w:p w:rsidR="00D87CDE" w:rsidRDefault="00AC602F">
      <w:pPr>
        <w:pStyle w:val="ProductList-Body"/>
      </w:pPr>
      <w:r>
        <w:t>O software que estabelece ligação entre o Microsoft Dynamics CRM e o Yammer</w:t>
      </w:r>
      <w:r>
        <w:fldChar w:fldCharType="begin"/>
      </w:r>
      <w:r>
        <w:instrText xml:space="preserve"> XE "Yammer" </w:instrText>
      </w:r>
      <w:r>
        <w:fldChar w:fldCharType="end"/>
      </w:r>
      <w:r>
        <w:t xml:space="preserve"> irá ativar determinados dados do Yammer para serem partilhados com os Serviços Online. Os OST aplicam-se à utilização que o Cliente faz do Yammer.</w:t>
      </w:r>
    </w:p>
    <w:p w:rsidR="00D87CDE" w:rsidRDefault="00D87CDE">
      <w:pPr>
        <w:pStyle w:val="ProductList-Body"/>
      </w:pPr>
    </w:p>
    <w:p w:rsidR="00D87CDE" w:rsidRDefault="00AC602F">
      <w:pPr>
        <w:pStyle w:val="ProductList-ClauseHeading"/>
        <w:outlineLvl w:val="4"/>
      </w:pPr>
      <w:r>
        <w:t>3.3 Direitos de Ativação Pós-falha</w:t>
      </w:r>
    </w:p>
    <w:p w:rsidR="00D87CDE" w:rsidRDefault="00AC602F">
      <w:pPr>
        <w:pStyle w:val="ProductList-Body"/>
      </w:pPr>
      <w:r>
        <w:t xml:space="preserve">Para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o Cliente utiliza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poderá executar até o mesmo número de Instâncias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para suporte temporário. O Cliente poderá executar as Instâncias de ativação pós-falha passivas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D87CDE" w:rsidRDefault="00D87CDE">
      <w:pPr>
        <w:pStyle w:val="ProductList-Body"/>
      </w:pPr>
    </w:p>
    <w:p w:rsidR="00D87CDE" w:rsidRDefault="00AC602F">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Microsoft Dynamics CRM 2016 Microsoft Office Outlook</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Dynamics CRM Reporting Extensions for Microsoft Dynamics CRM 2016</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Dynamics Marketing Connector para Microsoft Dynamics CRM (sem ser o Workgroup Server)</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pPr>
          </w:p>
        </w:tc>
      </w:tr>
    </w:tbl>
    <w:p w:rsidR="00D87CDE" w:rsidRDefault="00AC602F">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02"/>
        <w:gridCol w:w="3610"/>
        <w:gridCol w:w="357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4.1 Microsoft Dynamics CRM 2016 Professional Additive CAL – Unified Service Desk</w:t>
      </w:r>
    </w:p>
    <w:p w:rsidR="00D87CDE" w:rsidRDefault="00AC602F">
      <w:pPr>
        <w:pStyle w:val="ProductList-Body"/>
      </w:pPr>
      <w:r>
        <w:t xml:space="preserve">Para cada Microsoft Dynamics CRM 2016 Professional Additive CAL para a qual o Cliente tem SA, o Cliente poderá instalar e utilizar o Unified Service Desk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D87CDE" w:rsidRDefault="00D87CDE">
      <w:pPr>
        <w:pStyle w:val="ProductList-Body"/>
      </w:pPr>
    </w:p>
    <w:p w:rsidR="00D87CDE" w:rsidRDefault="00AC602F">
      <w:pPr>
        <w:pStyle w:val="ProductList-ClauseHeading"/>
        <w:outlineLvl w:val="4"/>
      </w:pPr>
      <w:r>
        <w:t>4.2 Microsoft Dynamics CustomerSource</w:t>
      </w:r>
    </w:p>
    <w:p w:rsidR="00D87CDE" w:rsidRDefault="00AC602F">
      <w:pPr>
        <w:pStyle w:val="ProductList-Body"/>
      </w:pPr>
      <w:r>
        <w:t xml:space="preserve">Os clientes do Microsoft Dynamics com cobertura SA ativa ou uma Subscrição Online terão acesso ao CustomerSource. </w:t>
      </w:r>
    </w:p>
    <w:p w:rsidR="00D87CDE" w:rsidRDefault="00D87CDE">
      <w:pPr>
        <w:pStyle w:val="PURBreadcrumb"/>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10462"/>
      <w:r>
        <w:instrText>Microsoft Identity Manager</w:instrText>
      </w:r>
      <w:bookmarkEnd w:id="80"/>
      <w:r>
        <w:instrText>" \l 2</w:instrText>
      </w:r>
      <w:r>
        <w:fldChar w:fldCharType="end"/>
      </w:r>
    </w:p>
    <w:p w:rsidR="00D87CDE" w:rsidRDefault="00AC602F">
      <w:pPr>
        <w:pStyle w:val="ProductList-Offering1SubSection"/>
        <w:outlineLvl w:val="2"/>
      </w:pPr>
      <w:bookmarkStart w:id="81" w:name="_Sec677"/>
      <w:r>
        <w:t>1. Disponibilidade do Programa</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BFBFBF"/>
              <w:bottom w:val="dashed" w:sz="4" w:space="0" w:color="BFBFBF"/>
              <w:right w:val="none" w:sz="4" w:space="0" w:color="6E6E6E"/>
            </w:tcBorders>
          </w:tcPr>
          <w:p w:rsidR="00D87CDE" w:rsidRDefault="00AC602F">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BFBFBF"/>
              <w:bottom w:val="none" w:sz="4" w:space="0" w:color="BFBFBF"/>
              <w:right w:val="none" w:sz="4" w:space="0" w:color="6E6E6E"/>
            </w:tcBorders>
          </w:tcPr>
          <w:p w:rsidR="00D87CDE" w:rsidRDefault="00AC602F">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2"/>
      </w:pPr>
      <w:bookmarkStart w:id="82" w:name="_Sec733"/>
      <w:r>
        <w:t>2. Condições do Produto</w:t>
      </w:r>
      <w:bookmarkEnd w:id="82"/>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2"/>
      </w:pPr>
      <w:bookmarkStart w:id="83" w:name="_Sec788"/>
      <w:r>
        <w:t>3. Direitos de Utilização</w:t>
      </w:r>
      <w:bookmarkEnd w:id="83"/>
    </w:p>
    <w:tbl>
      <w:tblPr>
        <w:tblStyle w:val="PURTable"/>
        <w:tblW w:w="0" w:type="dxa"/>
        <w:tblLook w:val="04A0" w:firstRow="1" w:lastRow="0" w:firstColumn="1" w:lastColumn="0" w:noHBand="0" w:noVBand="1"/>
      </w:tblPr>
      <w:tblGrid>
        <w:gridCol w:w="3610"/>
        <w:gridCol w:w="3603"/>
        <w:gridCol w:w="357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Tecnologias Incluídas: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D87C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87CDE" w:rsidRDefault="00D87CDE">
            <w:pPr>
              <w:pStyle w:val="ProductList-TableBody"/>
            </w:pPr>
          </w:p>
        </w:tc>
      </w:tr>
    </w:tbl>
    <w:p w:rsidR="00D87CDE" w:rsidRDefault="00AC602F">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GroupHeading"/>
        <w:outlineLvl w:val="1"/>
      </w:pPr>
      <w:bookmarkStart w:id="85" w:name="_Sec611"/>
      <w:r>
        <w:t>Aplicações do Office</w:t>
      </w:r>
      <w:bookmarkEnd w:id="85"/>
      <w:r>
        <w:fldChar w:fldCharType="begin"/>
      </w:r>
      <w:r>
        <w:instrText xml:space="preserve"> TC "</w:instrText>
      </w:r>
      <w:bookmarkStart w:id="86" w:name="_Toc452110463"/>
      <w:r>
        <w:instrText>Aplicações do Office</w:instrText>
      </w:r>
      <w:bookmarkEnd w:id="86"/>
      <w:r>
        <w:instrText>" \l 2</w:instrText>
      </w:r>
      <w:r>
        <w:fldChar w:fldCharType="end"/>
      </w:r>
    </w:p>
    <w:p w:rsidR="00D87CDE" w:rsidRDefault="00AC602F">
      <w:pPr>
        <w:pStyle w:val="ProductList-Offering2HeadingNoBorder"/>
        <w:outlineLvl w:val="2"/>
      </w:pPr>
      <w:bookmarkStart w:id="87" w:name="_Sec636"/>
      <w:r>
        <w:t>Aplicações de Estação de Trabalho do Office</w:t>
      </w:r>
      <w:bookmarkEnd w:id="87"/>
      <w:r>
        <w:fldChar w:fldCharType="begin"/>
      </w:r>
      <w:r>
        <w:instrText xml:space="preserve"> TC "</w:instrText>
      </w:r>
      <w:bookmarkStart w:id="88" w:name="_Toc452110464"/>
      <w:r>
        <w:instrText>Aplicações de Estação de Trabalho do Office</w:instrText>
      </w:r>
      <w:bookmarkEnd w:id="88"/>
      <w:r>
        <w:instrText>" \l 3</w:instrText>
      </w:r>
      <w:r>
        <w:fldChar w:fldCharType="end"/>
      </w:r>
    </w:p>
    <w:p w:rsidR="00D87CDE" w:rsidRDefault="00AC602F">
      <w:pPr>
        <w:pStyle w:val="ProductList-Offering1SubSection"/>
        <w:outlineLvl w:val="3"/>
      </w:pPr>
      <w:bookmarkStart w:id="89" w:name="_Sec681"/>
      <w:r>
        <w:t>1. Disponibilidade do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000000"/>
              <w:bottom w:val="dashed" w:sz="4" w:space="0" w:color="BFBFBF"/>
              <w:right w:val="single" w:sz="6" w:space="0" w:color="FFFFFF"/>
            </w:tcBorders>
          </w:tcPr>
          <w:p w:rsidR="00D87CDE" w:rsidRDefault="00AC602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000000"/>
              <w:bottom w:val="dashed" w:sz="4" w:space="0" w:color="BFBFBF"/>
              <w:right w:val="single" w:sz="6" w:space="0" w:color="FFFFFF"/>
            </w:tcBorders>
          </w:tcPr>
          <w:p w:rsidR="00D87CDE" w:rsidRDefault="00AC602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000000"/>
              <w:bottom w:val="dashed" w:sz="4" w:space="0" w:color="BFBFBF"/>
              <w:right w:val="single" w:sz="6" w:space="0" w:color="FFFFFF"/>
            </w:tcBorders>
          </w:tcPr>
          <w:p w:rsidR="00D87CDE" w:rsidRDefault="00AC602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000000"/>
              <w:bottom w:val="dashed" w:sz="4" w:space="0" w:color="BFBFBF"/>
              <w:right w:val="single" w:sz="6" w:space="0" w:color="FFFFFF"/>
            </w:tcBorders>
          </w:tcPr>
          <w:p w:rsidR="00D87CDE" w:rsidRDefault="00AC602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r>
              <w:t>,</w:t>
            </w: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000000"/>
              <w:bottom w:val="dashed" w:sz="4" w:space="0" w:color="BFBFBF"/>
              <w:right w:val="single" w:sz="6" w:space="0" w:color="FFFFFF"/>
            </w:tcBorders>
          </w:tcPr>
          <w:p w:rsidR="00D87CDE" w:rsidRDefault="00AC602F">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000000"/>
              <w:bottom w:val="dashed" w:sz="4" w:space="0" w:color="BFBFBF"/>
              <w:right w:val="single" w:sz="6" w:space="0" w:color="FFFFFF"/>
            </w:tcBorders>
          </w:tcPr>
          <w:p w:rsidR="00D87CDE" w:rsidRDefault="00AC602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000000"/>
              <w:bottom w:val="dashed" w:sz="4" w:space="0" w:color="BFBFBF"/>
              <w:right w:val="single" w:sz="6" w:space="0" w:color="FFFFFF"/>
            </w:tcBorders>
          </w:tcPr>
          <w:p w:rsidR="00D87CDE" w:rsidRDefault="00AC602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000000"/>
              <w:bottom w:val="dashed" w:sz="4" w:space="0" w:color="BFBFBF"/>
              <w:right w:val="single" w:sz="6" w:space="0" w:color="FFFFFF"/>
            </w:tcBorders>
          </w:tcPr>
          <w:p w:rsidR="00D87CDE" w:rsidRDefault="00AC602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000000"/>
              <w:bottom w:val="dashed" w:sz="4" w:space="0" w:color="BFBFBF"/>
              <w:right w:val="single" w:sz="6" w:space="0" w:color="FFFFFF"/>
            </w:tcBorders>
          </w:tcPr>
          <w:p w:rsidR="00D87CDE" w:rsidRDefault="00AC602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000000"/>
              <w:bottom w:val="dashed" w:sz="4" w:space="0" w:color="BFBFBF"/>
              <w:right w:val="single" w:sz="6" w:space="0" w:color="FFFFFF"/>
            </w:tcBorders>
          </w:tcPr>
          <w:p w:rsidR="00D87CDE" w:rsidRDefault="00AC602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000000"/>
              <w:bottom w:val="dashed" w:sz="4" w:space="0" w:color="BFBFBF"/>
              <w:right w:val="single" w:sz="6" w:space="0" w:color="FFFFFF"/>
            </w:tcBorders>
          </w:tcPr>
          <w:p w:rsidR="00D87CDE" w:rsidRDefault="00AC602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000000"/>
              <w:bottom w:val="dashed" w:sz="4" w:space="0" w:color="BFBFBF"/>
              <w:right w:val="single" w:sz="6" w:space="0" w:color="FFFFFF"/>
            </w:tcBorders>
          </w:tcPr>
          <w:p w:rsidR="00D87CDE" w:rsidRDefault="00AC602F">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000000"/>
              <w:bottom w:val="dashed" w:sz="4" w:space="0" w:color="BFBFBF"/>
              <w:right w:val="single" w:sz="6" w:space="0" w:color="FFFFFF"/>
            </w:tcBorders>
          </w:tcPr>
          <w:p w:rsidR="00D87CDE" w:rsidRDefault="00AC602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000000"/>
              <w:bottom w:val="dashed" w:sz="4" w:space="0" w:color="BFBFBF"/>
              <w:right w:val="single" w:sz="6" w:space="0" w:color="FFFFFF"/>
            </w:tcBorders>
          </w:tcPr>
          <w:p w:rsidR="00D87CDE" w:rsidRDefault="00AC602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000000"/>
              <w:bottom w:val="dashed" w:sz="4" w:space="0" w:color="BFBFBF"/>
              <w:right w:val="single" w:sz="6" w:space="0" w:color="FFFFFF"/>
            </w:tcBorders>
          </w:tcPr>
          <w:p w:rsidR="00D87CDE" w:rsidRDefault="00AC602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000000"/>
              <w:bottom w:val="dashed" w:sz="4" w:space="0" w:color="BFBFBF"/>
              <w:right w:val="single" w:sz="6" w:space="0" w:color="FFFFFF"/>
            </w:tcBorders>
          </w:tcPr>
          <w:p w:rsidR="00D87CDE" w:rsidRDefault="00AC602F">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7CDE" w:rsidRDefault="00AC60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87CDE" w:rsidRDefault="00D87CD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000000"/>
              <w:bottom w:val="none" w:sz="4" w:space="0" w:color="BFBFBF"/>
              <w:right w:val="single" w:sz="6" w:space="0" w:color="FFFFFF"/>
            </w:tcBorders>
          </w:tcPr>
          <w:p w:rsidR="00D87CDE" w:rsidRDefault="00AC602F">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87CDE" w:rsidRDefault="00AC602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87CDE" w:rsidRDefault="00AC602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87CDE" w:rsidRDefault="00D87CD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90" w:name="_Sec736"/>
      <w:r>
        <w:t>2. Condições do Produto</w:t>
      </w:r>
      <w:bookmarkEnd w:id="90"/>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Project Professional 2016</w:t>
      </w:r>
    </w:p>
    <w:p w:rsidR="00D87CDE" w:rsidRDefault="00AC602F">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D87CDE" w:rsidRDefault="00D87CDE">
      <w:pPr>
        <w:pStyle w:val="ProductList-Body"/>
      </w:pPr>
    </w:p>
    <w:p w:rsidR="00D87CDE" w:rsidRDefault="00AC602F">
      <w:pPr>
        <w:pStyle w:val="ProductList-ClauseHeading"/>
        <w:outlineLvl w:val="4"/>
      </w:pPr>
      <w:r>
        <w:t>2.2 Work at Home</w:t>
      </w:r>
    </w:p>
    <w:p w:rsidR="00D87CDE" w:rsidRDefault="00AC602F">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D87CDE" w:rsidRDefault="00D87CDE">
      <w:pPr>
        <w:pStyle w:val="ProductList-Body"/>
      </w:pPr>
    </w:p>
    <w:p w:rsidR="00D87CDE" w:rsidRDefault="00AC602F">
      <w:pPr>
        <w:pStyle w:val="ProductList-ClauseHeading"/>
        <w:outlineLvl w:val="4"/>
      </w:pPr>
      <w:r>
        <w:t>2.3 Plataforma Independente</w:t>
      </w:r>
    </w:p>
    <w:p w:rsidR="00D87CDE" w:rsidRDefault="00AC602F">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D87CDE" w:rsidRDefault="00D87CDE">
      <w:pPr>
        <w:pStyle w:val="ProductList-Body"/>
      </w:pPr>
    </w:p>
    <w:p w:rsidR="00D87CDE" w:rsidRDefault="00AC602F">
      <w:pPr>
        <w:pStyle w:val="ProductList-ClauseHeading"/>
        <w:outlineLvl w:val="4"/>
      </w:pPr>
      <w:r>
        <w:t>2.4 Versões Sucessoras</w:t>
      </w:r>
    </w:p>
    <w:p w:rsidR="00D87CDE" w:rsidRDefault="00AC602F">
      <w:pPr>
        <w:pStyle w:val="ProductList-Body"/>
      </w:pPr>
      <w:r>
        <w:t>O Skype para Empresas 2016 é a versão sucessora do Lync 2013.</w:t>
      </w:r>
    </w:p>
    <w:p w:rsidR="00D87CDE" w:rsidRDefault="00D87CDE">
      <w:pPr>
        <w:pStyle w:val="ProductList-Body"/>
      </w:pPr>
    </w:p>
    <w:p w:rsidR="00D87CDE" w:rsidRDefault="00AC602F">
      <w:pPr>
        <w:pStyle w:val="ProductList-ClauseHeading"/>
        <w:outlineLvl w:val="4"/>
      </w:pPr>
      <w:r>
        <w:t>2.5 Office Online Server</w:t>
      </w:r>
    </w:p>
    <w:p w:rsidR="00D87CDE" w:rsidRDefault="00AC602F">
      <w:pPr>
        <w:pStyle w:val="ProductList-Body"/>
      </w:pPr>
      <w:r>
        <w:t xml:space="preserve">Os clientes que adquirirem licenças do Office Standard 2016 ou do Office Professional Plus 2016 entre 1 de maio de 2016 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D87CDE" w:rsidRDefault="00AC602F">
      <w:pPr>
        <w:pStyle w:val="ProductList-Offering1SubSection"/>
        <w:outlineLvl w:val="3"/>
      </w:pPr>
      <w:bookmarkStart w:id="91" w:name="_Sec791"/>
      <w:r>
        <w:t>3. Direitos de Utilização</w:t>
      </w:r>
      <w:bookmarkEnd w:id="91"/>
    </w:p>
    <w:tbl>
      <w:tblPr>
        <w:tblStyle w:val="PURTable"/>
        <w:tblW w:w="0" w:type="dxa"/>
        <w:tblLook w:val="04A0" w:firstRow="1" w:lastRow="0" w:firstColumn="1" w:lastColumn="0" w:noHBand="0" w:noVBand="1"/>
      </w:tblPr>
      <w:tblGrid>
        <w:gridCol w:w="3616"/>
        <w:gridCol w:w="3600"/>
        <w:gridCol w:w="357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Software Adicional: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Direitos de Utilização Comercial do Office Casa e Estudantes 2013 RT</w:t>
      </w:r>
    </w:p>
    <w:p w:rsidR="00D87CDE" w:rsidRDefault="00AC602F">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D87CDE" w:rsidRDefault="00D87CDE">
      <w:pPr>
        <w:pStyle w:val="ProductList-Body"/>
      </w:pPr>
    </w:p>
    <w:p w:rsidR="00D87CDE" w:rsidRDefault="00AC602F">
      <w:pPr>
        <w:pStyle w:val="ProductList-ClauseHeading"/>
        <w:outlineLvl w:val="4"/>
      </w:pPr>
      <w:r>
        <w:t>3.2 Office Professional Plus 2016 e Office Standard 2016 – Utilização Comercial do Office Casa e Estudantes 2013 RT</w:t>
      </w:r>
    </w:p>
    <w:p w:rsidR="00D87CDE" w:rsidRDefault="00AC602F">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D87CDE" w:rsidRDefault="00AC602F">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4.1 Project Professional 2016</w:t>
      </w:r>
    </w:p>
    <w:p w:rsidR="00D87CDE" w:rsidRDefault="00AC602F">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D87CDE" w:rsidRDefault="00D87CDE">
      <w:pPr>
        <w:pStyle w:val="PURBreadcrumb"/>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93" w:name="_Sec680"/>
      <w:r>
        <w:t>Office for Mac</w:t>
      </w:r>
      <w:bookmarkEnd w:id="93"/>
      <w:r>
        <w:fldChar w:fldCharType="begin"/>
      </w:r>
      <w:r>
        <w:instrText xml:space="preserve"> TC "</w:instrText>
      </w:r>
      <w:bookmarkStart w:id="94" w:name="_Toc452110465"/>
      <w:r>
        <w:instrText>Office for Mac</w:instrText>
      </w:r>
      <w:bookmarkEnd w:id="94"/>
      <w:r>
        <w:instrText>" \l 3</w:instrText>
      </w:r>
      <w:r>
        <w:fldChar w:fldCharType="end"/>
      </w:r>
    </w:p>
    <w:p w:rsidR="00D87CDE" w:rsidRDefault="00AC602F">
      <w:pPr>
        <w:pStyle w:val="ProductList-Offering1SubSection"/>
        <w:outlineLvl w:val="3"/>
      </w:pPr>
      <w:bookmarkStart w:id="95" w:name="_Sec682"/>
      <w:r>
        <w:t>1. Disponibilidade do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96" w:name="_Sec737"/>
      <w:r>
        <w:t>2. Condições do Produto</w:t>
      </w:r>
      <w:bookmarkEnd w:id="96"/>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Versões Sucessoras</w:t>
      </w:r>
    </w:p>
    <w:p w:rsidR="00D87CDE" w:rsidRDefault="00AC602F">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D87CDE" w:rsidRDefault="00D87CDE">
      <w:pPr>
        <w:pStyle w:val="ProductList-Body"/>
      </w:pPr>
    </w:p>
    <w:p w:rsidR="00D87CDE" w:rsidRDefault="00AC602F">
      <w:pPr>
        <w:pStyle w:val="ProductList-ClauseHeading"/>
        <w:outlineLvl w:val="4"/>
      </w:pPr>
      <w:r>
        <w:t>2.2 Work at Home</w:t>
      </w:r>
    </w:p>
    <w:p w:rsidR="00D87CDE" w:rsidRDefault="00AC602F">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D87CDE" w:rsidRDefault="00D87CDE">
      <w:pPr>
        <w:pStyle w:val="ProductList-Body"/>
      </w:pPr>
    </w:p>
    <w:p w:rsidR="00D87CDE" w:rsidRDefault="00AC602F">
      <w:pPr>
        <w:pStyle w:val="ProductList-ClauseHeading"/>
        <w:outlineLvl w:val="4"/>
      </w:pPr>
      <w:r>
        <w:t>2.3 Plataforma Independente</w:t>
      </w:r>
    </w:p>
    <w:p w:rsidR="00D87CDE" w:rsidRDefault="00AC602F">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D87CDE" w:rsidRDefault="00AC602F">
      <w:pPr>
        <w:pStyle w:val="ProductList-Offering1SubSection"/>
        <w:outlineLvl w:val="3"/>
      </w:pPr>
      <w:bookmarkStart w:id="97" w:name="_Sec792"/>
      <w:r>
        <w:t>3. Direitos de Utilização</w:t>
      </w:r>
      <w:bookmarkEnd w:id="97"/>
    </w:p>
    <w:tbl>
      <w:tblPr>
        <w:tblStyle w:val="PURTable"/>
        <w:tblW w:w="0" w:type="dxa"/>
        <w:tblLook w:val="04A0" w:firstRow="1" w:lastRow="0" w:firstColumn="1" w:lastColumn="0" w:noHBand="0" w:noVBand="1"/>
      </w:tblPr>
      <w:tblGrid>
        <w:gridCol w:w="3616"/>
        <w:gridCol w:w="3600"/>
        <w:gridCol w:w="357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Software Adicional: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Utilização Comercial do Office Casa e Estudantes 2013 RT</w:t>
      </w:r>
    </w:p>
    <w:p w:rsidR="00D87CDE" w:rsidRDefault="00AC602F">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D87CDE" w:rsidRDefault="00AC602F">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1"/>
        <w:gridCol w:w="3628"/>
        <w:gridCol w:w="3571"/>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GroupHeading"/>
        <w:outlineLvl w:val="1"/>
      </w:pPr>
      <w:bookmarkStart w:id="99" w:name="_Sec612"/>
      <w:r>
        <w:t>Office Servers</w:t>
      </w:r>
      <w:bookmarkEnd w:id="99"/>
      <w:r>
        <w:fldChar w:fldCharType="begin"/>
      </w:r>
      <w:r>
        <w:instrText xml:space="preserve"> TC "</w:instrText>
      </w:r>
      <w:bookmarkStart w:id="100" w:name="_Toc452110466"/>
      <w:r>
        <w:instrText>Office Servers</w:instrText>
      </w:r>
      <w:bookmarkEnd w:id="100"/>
      <w:r>
        <w:instrText>" \l 2</w:instrText>
      </w:r>
      <w:r>
        <w:fldChar w:fldCharType="end"/>
      </w:r>
    </w:p>
    <w:p w:rsidR="00D87CDE" w:rsidRDefault="00AC602F">
      <w:pPr>
        <w:pStyle w:val="ProductList-Offering2HeadingNoBorder"/>
        <w:outlineLvl w:val="2"/>
      </w:pPr>
      <w:bookmarkStart w:id="101" w:name="_Sec638"/>
      <w:r>
        <w:t>Exchange Server</w:t>
      </w:r>
      <w:bookmarkEnd w:id="101"/>
      <w:r>
        <w:fldChar w:fldCharType="begin"/>
      </w:r>
      <w:r>
        <w:instrText xml:space="preserve"> TC "</w:instrText>
      </w:r>
      <w:bookmarkStart w:id="102" w:name="_Toc452110467"/>
      <w:r>
        <w:instrText>Exchange Server</w:instrText>
      </w:r>
      <w:bookmarkEnd w:id="102"/>
      <w:r>
        <w:instrText>" \l 3</w:instrText>
      </w:r>
      <w:r>
        <w:fldChar w:fldCharType="end"/>
      </w:r>
    </w:p>
    <w:p w:rsidR="00D87CDE" w:rsidRDefault="00AC602F">
      <w:pPr>
        <w:pStyle w:val="ProductList-Offering1SubSection"/>
        <w:outlineLvl w:val="3"/>
      </w:pPr>
      <w:bookmarkStart w:id="103" w:name="_Sec683"/>
      <w:r>
        <w:t>1. Disponibilidade do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3"/>
      </w:pPr>
      <w:bookmarkStart w:id="104" w:name="_Sec738"/>
      <w:r>
        <w:t>2. Condições do Produto</w:t>
      </w:r>
      <w:bookmarkEnd w:id="104"/>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3"/>
      </w:pPr>
      <w:bookmarkStart w:id="105" w:name="_Sec793"/>
      <w:r>
        <w:t>3. Direitos de Utilização</w:t>
      </w:r>
      <w:bookmarkEnd w:id="105"/>
    </w:p>
    <w:tbl>
      <w:tblPr>
        <w:tblStyle w:val="PURTable"/>
        <w:tblW w:w="0" w:type="dxa"/>
        <w:tblLook w:val="04A0" w:firstRow="1" w:lastRow="0" w:firstColumn="1" w:lastColumn="0" w:noHBand="0" w:noVBand="1"/>
      </w:tblPr>
      <w:tblGrid>
        <w:gridCol w:w="3608"/>
        <w:gridCol w:w="3607"/>
        <w:gridCol w:w="3575"/>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Tecnologias Incluídas: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87CDE" w:rsidRDefault="00AC602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87CDE" w:rsidRDefault="00AC602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87CDE" w:rsidRDefault="00AC602F">
            <w:pPr>
              <w:pStyle w:val="ProductList-TableBody"/>
            </w:pPr>
            <w:r>
              <w:t>Exchange Online Plan 1 User SL</w:t>
            </w:r>
          </w:p>
        </w:tc>
      </w:tr>
      <w:tr w:rsidR="00D87CD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87CDE" w:rsidRDefault="00D87C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7CDE" w:rsidRDefault="00AC602F">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87CDE" w:rsidRDefault="00AC602F">
            <w:pPr>
              <w:pStyle w:val="ProductList-TableBody"/>
            </w:pPr>
            <w:r>
              <w:t>Exchange Online Plan 2 User SL</w:t>
            </w:r>
          </w:p>
        </w:tc>
      </w:tr>
      <w:tr w:rsidR="00D87CD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87CDE" w:rsidRDefault="00D87C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7CDE" w:rsidRDefault="00AC602F">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87CDE" w:rsidRDefault="00AC602F">
            <w:pPr>
              <w:pStyle w:val="ProductList-TableBody"/>
            </w:pPr>
            <w:r>
              <w:t>Exchange Online Plan 2G User SL</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87CDE" w:rsidRDefault="00D87C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CDE" w:rsidRDefault="00AC602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
      </w:pPr>
    </w:p>
    <w:p w:rsidR="00D87CDE" w:rsidRDefault="00AC602F">
      <w:pPr>
        <w:pStyle w:val="ProductList-SubClauseHeading"/>
        <w:outlineLvl w:val="5"/>
      </w:pPr>
      <w:r>
        <w:t>3.1.1 Funcionalidade Adicional Associada a Exchange Enterprise CAL</w:t>
      </w:r>
    </w:p>
    <w:p w:rsidR="00D87CDE" w:rsidRDefault="00AC602F">
      <w:pPr>
        <w:pStyle w:val="ProductList-BodyIndented"/>
      </w:pPr>
      <w:r>
        <w:t>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87CDE" w:rsidRDefault="00AC602F">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D87CDE" w:rsidRDefault="00AC602F">
            <w:pPr>
              <w:pStyle w:val="ProductList-TableBody"/>
            </w:pPr>
            <w:r>
              <w:t>Exchange Online Plan 2 User SL</w:t>
            </w:r>
          </w:p>
        </w:tc>
      </w:tr>
      <w:tr w:rsidR="00D87CD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87CDE" w:rsidRDefault="00D87C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7CDE" w:rsidRDefault="00AC602F">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87CDE" w:rsidRDefault="00AC602F">
            <w:pPr>
              <w:pStyle w:val="ProductList-TableBody"/>
            </w:pPr>
            <w:r>
              <w:t>Exchange Online Plan 2G User SL</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87CDE" w:rsidRDefault="00D87C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CDE" w:rsidRDefault="00AC602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Indented"/>
      </w:pPr>
    </w:p>
    <w:p w:rsidR="00D87CDE" w:rsidRDefault="00AC602F">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D87C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7CDE" w:rsidRDefault="00D87CDE">
            <w:pPr>
              <w:pStyle w:val="ProductList-TableBody"/>
            </w:pPr>
          </w:p>
        </w:tc>
      </w:tr>
    </w:tbl>
    <w:p w:rsidR="00D87CDE" w:rsidRDefault="00AC602F">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6"/>
        <w:gridCol w:w="3617"/>
        <w:gridCol w:w="357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4.1 Termos e Condições Suplementares do Exchange Enterprise CAL com Services 2016</w:t>
      </w:r>
    </w:p>
    <w:p w:rsidR="00D87CDE" w:rsidRDefault="00AC602F">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0">
        <w:r>
          <w:rPr>
            <w:color w:val="00467F"/>
            <w:u w:val="single"/>
          </w:rPr>
          <w:t>http://go.microsoft.com/?linkid=9839207</w:t>
        </w:r>
      </w:hyperlink>
      <w:r>
        <w:t xml:space="preserve"> aplicam-se à aquisição e utilização dos Serviços Online incluídos com Exchange Enterprise CAL com Services 2016.</w:t>
      </w:r>
    </w:p>
    <w:p w:rsidR="00D87CDE" w:rsidRDefault="00D87CDE">
      <w:pPr>
        <w:pStyle w:val="PURBreadcrumb"/>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107" w:name="_Sec639"/>
      <w:r>
        <w:t>Project Server</w:t>
      </w:r>
      <w:bookmarkEnd w:id="107"/>
      <w:r>
        <w:fldChar w:fldCharType="begin"/>
      </w:r>
      <w:r>
        <w:instrText xml:space="preserve"> TC "</w:instrText>
      </w:r>
      <w:bookmarkStart w:id="108" w:name="_Toc452110468"/>
      <w:r>
        <w:instrText>Project Server</w:instrText>
      </w:r>
      <w:bookmarkEnd w:id="108"/>
      <w:r>
        <w:instrText>" \l 3</w:instrText>
      </w:r>
      <w:r>
        <w:fldChar w:fldCharType="end"/>
      </w:r>
    </w:p>
    <w:p w:rsidR="00D87CDE" w:rsidRDefault="00AC602F">
      <w:pPr>
        <w:pStyle w:val="ProductList-Offering1SubSection"/>
        <w:outlineLvl w:val="3"/>
      </w:pPr>
      <w:bookmarkStart w:id="109" w:name="_Sec684"/>
      <w:r>
        <w:t>1. Disponibilidade do Programa</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3"/>
      </w:pPr>
      <w:bookmarkStart w:id="110" w:name="_Sec739"/>
      <w:r>
        <w:t>2. Condições do Produto</w:t>
      </w:r>
      <w:bookmarkEnd w:id="110"/>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3"/>
      </w:pPr>
      <w:bookmarkStart w:id="111" w:name="_Sec795"/>
      <w:r>
        <w:t>3. Direitos de Utilização</w:t>
      </w:r>
      <w:bookmarkEnd w:id="111"/>
    </w:p>
    <w:tbl>
      <w:tblPr>
        <w:tblStyle w:val="PURTable"/>
        <w:tblW w:w="0" w:type="dxa"/>
        <w:tblLook w:val="04A0" w:firstRow="1" w:lastRow="0" w:firstColumn="1" w:lastColumn="0" w:noHBand="0" w:noVBand="1"/>
      </w:tblPr>
      <w:tblGrid>
        <w:gridCol w:w="3610"/>
        <w:gridCol w:w="3603"/>
        <w:gridCol w:w="357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Tecnologias Incluídas: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8"/>
        <w:gridCol w:w="3596"/>
        <w:gridCol w:w="3596"/>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CDE" w:rsidRDefault="00AC602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87CDE" w:rsidRDefault="00AC602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D87CDE" w:rsidRDefault="00AC602F">
            <w:pPr>
              <w:pStyle w:val="ProductList-TableBody"/>
            </w:pPr>
            <w:r>
              <w:t>Project Lite</w:t>
            </w:r>
            <w:r>
              <w:fldChar w:fldCharType="begin"/>
            </w:r>
            <w:r>
              <w:instrText xml:space="preserve"> XE "Project Lite" </w:instrText>
            </w:r>
            <w:r>
              <w:fldChar w:fldCharType="end"/>
            </w:r>
            <w:r>
              <w:t xml:space="preserve"> User SL</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CDE" w:rsidRDefault="00AC602F">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87CDE" w:rsidRDefault="00AC602F">
            <w:pPr>
              <w:pStyle w:val="ProductList-TableBody"/>
            </w:pPr>
            <w:r>
              <w:t>Project Pro para Office 365</w:t>
            </w:r>
            <w:r>
              <w:fldChar w:fldCharType="begin"/>
            </w:r>
            <w:r>
              <w:instrText xml:space="preserve"> XE "Project Pro para Office 365" </w:instrText>
            </w:r>
            <w:r>
              <w:fldChar w:fldCharType="end"/>
            </w:r>
            <w:r>
              <w:t xml:space="preserve"> User SL</w:t>
            </w:r>
          </w:p>
        </w:tc>
      </w:tr>
    </w:tbl>
    <w:p w:rsidR="00D87CDE" w:rsidRDefault="00D87CDE">
      <w:pPr>
        <w:pStyle w:val="ProductList-Body"/>
      </w:pPr>
    </w:p>
    <w:p w:rsidR="00D87CDE" w:rsidRDefault="00AC602F">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D87C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7CDE" w:rsidRDefault="00D87CDE">
            <w:pPr>
              <w:pStyle w:val="ProductList-TableBody"/>
            </w:pPr>
          </w:p>
        </w:tc>
      </w:tr>
    </w:tbl>
    <w:p w:rsidR="00D87CDE" w:rsidRDefault="00AC602F">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113" w:name="_Sec640"/>
      <w:r>
        <w:t>SharePoint Server</w:t>
      </w:r>
      <w:bookmarkEnd w:id="113"/>
      <w:r>
        <w:fldChar w:fldCharType="begin"/>
      </w:r>
      <w:r>
        <w:instrText xml:space="preserve"> TC "</w:instrText>
      </w:r>
      <w:bookmarkStart w:id="114" w:name="_Toc452110469"/>
      <w:r>
        <w:instrText>SharePoint Server</w:instrText>
      </w:r>
      <w:bookmarkEnd w:id="114"/>
      <w:r>
        <w:instrText>" \l 3</w:instrText>
      </w:r>
      <w:r>
        <w:fldChar w:fldCharType="end"/>
      </w:r>
    </w:p>
    <w:p w:rsidR="00D87CDE" w:rsidRDefault="00AC602F">
      <w:pPr>
        <w:pStyle w:val="ProductList-Offering1SubSection"/>
        <w:outlineLvl w:val="3"/>
      </w:pPr>
      <w:bookmarkStart w:id="115" w:name="_Sec685"/>
      <w:r>
        <w:t>1. Disponibilidade do Programa</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3"/>
      </w:pPr>
      <w:bookmarkStart w:id="116" w:name="_Sec740"/>
      <w:r>
        <w:t>2. Condições do Produto</w:t>
      </w:r>
      <w:bookmarkEnd w:id="116"/>
    </w:p>
    <w:tbl>
      <w:tblPr>
        <w:tblStyle w:val="PURTable"/>
        <w:tblW w:w="0" w:type="dxa"/>
        <w:tblLook w:val="04A0" w:firstRow="1" w:lastRow="0" w:firstColumn="1" w:lastColumn="0" w:noHBand="0" w:noVBand="1"/>
      </w:tblPr>
      <w:tblGrid>
        <w:gridCol w:w="3608"/>
        <w:gridCol w:w="3595"/>
        <w:gridCol w:w="358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3"/>
      </w:pPr>
      <w:bookmarkStart w:id="117" w:name="_Sec798"/>
      <w:r>
        <w:t>3. Direitos de Utilização</w:t>
      </w:r>
      <w:bookmarkEnd w:id="117"/>
    </w:p>
    <w:tbl>
      <w:tblPr>
        <w:tblStyle w:val="PURTable"/>
        <w:tblW w:w="0" w:type="dxa"/>
        <w:tblLook w:val="04A0" w:firstRow="1" w:lastRow="0" w:firstColumn="1" w:lastColumn="0" w:noHBand="0" w:noVBand="1"/>
      </w:tblPr>
      <w:tblGrid>
        <w:gridCol w:w="3610"/>
        <w:gridCol w:w="3603"/>
        <w:gridCol w:w="357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Tecnologias Incluídas: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CDE" w:rsidRDefault="00AC602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87CDE" w:rsidRDefault="00AC602F">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87CDE" w:rsidRDefault="00AC602F">
            <w:pPr>
              <w:pStyle w:val="ProductList-TableBody"/>
            </w:pPr>
            <w:r>
              <w:t>SharePoint Online Plan 2</w:t>
            </w:r>
            <w:r>
              <w:fldChar w:fldCharType="begin"/>
            </w:r>
            <w:r>
              <w:instrText xml:space="preserve"> XE "SharePoint Online Plan 2" </w:instrText>
            </w:r>
            <w:r>
              <w:fldChar w:fldCharType="end"/>
            </w:r>
            <w:r>
              <w:t xml:space="preserve"> User SL</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CDE" w:rsidRDefault="00AC602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CDE" w:rsidRDefault="00AC602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87CDE" w:rsidRDefault="00AC602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87CDE" w:rsidRDefault="00AC602F">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CDE" w:rsidRDefault="00AC602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87CDE" w:rsidRDefault="00AC602F">
            <w:pPr>
              <w:pStyle w:val="ProductList-TableBody"/>
            </w:pPr>
            <w:r>
              <w:t>SharePoint Online Plan 2 User SL</w:t>
            </w:r>
          </w:p>
        </w:tc>
      </w:tr>
    </w:tbl>
    <w:p w:rsidR="00D87CDE" w:rsidRDefault="00D87CDE">
      <w:pPr>
        <w:pStyle w:val="ProductList-Body"/>
      </w:pPr>
    </w:p>
    <w:p w:rsidR="00D87CDE" w:rsidRDefault="00AC602F">
      <w:pPr>
        <w:pStyle w:val="ProductList-SubClauseHeading"/>
        <w:outlineLvl w:val="5"/>
      </w:pPr>
      <w:r>
        <w:t>3.2.1 Funcionalidade Adicional do SharePoint Server Associada ao SharePoint Enterprise CAL</w:t>
      </w:r>
    </w:p>
    <w:p w:rsidR="00D87CDE" w:rsidRDefault="00AC602F">
      <w:pPr>
        <w:pStyle w:val="ProductList-BodyIndented"/>
      </w:pPr>
      <w:r>
        <w:t>Business Connectivity Services Line of Business Webparts; Office 2016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87CDE" w:rsidRDefault="00AC602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87CDE" w:rsidRDefault="00AC602F">
            <w:pPr>
              <w:pStyle w:val="ProductList-TableBody"/>
            </w:pPr>
            <w:r>
              <w:t>SharePoint Online Plan 2 User SL</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CDE" w:rsidRDefault="00AC602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Indented"/>
      </w:pPr>
    </w:p>
    <w:p w:rsidR="00D87CDE" w:rsidRDefault="00AC602F">
      <w:pPr>
        <w:pStyle w:val="ProductList-ClauseHeading"/>
        <w:outlineLvl w:val="4"/>
      </w:pPr>
      <w:r>
        <w:t>3.3 Renúncia de CAL para Utilizadores que Acedam a Conteúdo Publicamente Disponível</w:t>
      </w:r>
    </w:p>
    <w:p w:rsidR="00D87CDE" w:rsidRDefault="00AC602F">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D87CDE" w:rsidRDefault="00D87CDE">
      <w:pPr>
        <w:pStyle w:val="ProductList-Body"/>
      </w:pPr>
    </w:p>
    <w:p w:rsidR="00D87CDE" w:rsidRDefault="00AC602F">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D87C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7CDE" w:rsidRDefault="00D87CDE">
            <w:pPr>
              <w:pStyle w:val="ProductList-TableBody"/>
            </w:pPr>
          </w:p>
        </w:tc>
      </w:tr>
    </w:tbl>
    <w:p w:rsidR="00D87CDE" w:rsidRDefault="00AC602F">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9"/>
        <w:gridCol w:w="3609"/>
        <w:gridCol w:w="3572"/>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URBreadcrumb"/>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119" w:name="_Sec641"/>
      <w:r>
        <w:t>Skype para Empresas Server</w:t>
      </w:r>
      <w:bookmarkEnd w:id="119"/>
      <w:r>
        <w:fldChar w:fldCharType="begin"/>
      </w:r>
      <w:r>
        <w:instrText xml:space="preserve"> TC "</w:instrText>
      </w:r>
      <w:bookmarkStart w:id="120" w:name="_Toc452110470"/>
      <w:r>
        <w:instrText>Skype para Empresas Server</w:instrText>
      </w:r>
      <w:bookmarkEnd w:id="120"/>
      <w:r>
        <w:instrText>" \l 3</w:instrText>
      </w:r>
      <w:r>
        <w:fldChar w:fldCharType="end"/>
      </w:r>
    </w:p>
    <w:p w:rsidR="00D87CDE" w:rsidRDefault="00AC602F">
      <w:pPr>
        <w:pStyle w:val="ProductList-Offering1SubSection"/>
        <w:outlineLvl w:val="3"/>
      </w:pPr>
      <w:bookmarkStart w:id="121" w:name="_Sec686"/>
      <w:r>
        <w:t>1. Disponibilidade do Programa</w:t>
      </w:r>
      <w:bookmarkEnd w:id="121"/>
    </w:p>
    <w:p w:rsidR="00D87CDE" w:rsidRDefault="00D87CDE">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3"/>
      </w:pPr>
      <w:bookmarkStart w:id="122" w:name="_Sec741"/>
      <w:r>
        <w:t>2. Condições do Produto</w:t>
      </w:r>
      <w:bookmarkEnd w:id="122"/>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3"/>
      </w:pPr>
      <w:bookmarkStart w:id="123" w:name="_Sec799"/>
      <w:r>
        <w:t>3. Direitos de Utilização</w:t>
      </w:r>
      <w:bookmarkEnd w:id="123"/>
    </w:p>
    <w:tbl>
      <w:tblPr>
        <w:tblStyle w:val="PURTable"/>
        <w:tblW w:w="0" w:type="dxa"/>
        <w:tblLook w:val="04A0" w:firstRow="1" w:lastRow="0" w:firstColumn="1" w:lastColumn="0" w:noHBand="0" w:noVBand="1"/>
      </w:tblPr>
      <w:tblGrid>
        <w:gridCol w:w="3603"/>
        <w:gridCol w:w="3596"/>
        <w:gridCol w:w="3591"/>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CDE" w:rsidRDefault="00AC602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87CDE" w:rsidRDefault="00AC602F">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87CDE" w:rsidRDefault="00AC602F">
            <w:pPr>
              <w:pStyle w:val="ProductList-TableBody"/>
            </w:pPr>
            <w:r>
              <w:t>Skype para Empresas Online Plan 1 User SL</w:t>
            </w:r>
          </w:p>
        </w:tc>
      </w:tr>
      <w:tr w:rsidR="00D87C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7CDE" w:rsidRDefault="00AC602F">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87CDE" w:rsidRDefault="00AC602F">
            <w:pPr>
              <w:pStyle w:val="ProductList-TableBody"/>
            </w:pPr>
            <w:r>
              <w:t>Skype para Empresas Online Plan 2 User SL</w:t>
            </w:r>
          </w:p>
        </w:tc>
      </w:tr>
      <w:tr w:rsidR="00D87C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7CDE" w:rsidRDefault="00AC602F">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87CDE" w:rsidRDefault="00AC602F">
            <w:pPr>
              <w:pStyle w:val="ProductList-TableBody"/>
            </w:pPr>
            <w:r>
              <w:t>Skype para Empresas Online Plan 2G User SL</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CDE" w:rsidRDefault="00AC602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
      </w:pPr>
    </w:p>
    <w:p w:rsidR="00D87CDE" w:rsidRDefault="00AC602F">
      <w:pPr>
        <w:pStyle w:val="ProductList-SubClauseHeading"/>
        <w:outlineLvl w:val="5"/>
      </w:pPr>
      <w:r>
        <w:t>3.1.1 Funcionalidade Adicional Associada a Skype para Empresas Server Enterprise CAL</w:t>
      </w:r>
    </w:p>
    <w:p w:rsidR="00D87CDE" w:rsidRDefault="00AC602F">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87CDE" w:rsidRDefault="00AC602F">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87CDE" w:rsidRDefault="00AC602F">
            <w:pPr>
              <w:pStyle w:val="ProductList-TableBody"/>
            </w:pPr>
            <w:r>
              <w:t>Skype para Empresas Online Plan 2 User SL</w:t>
            </w:r>
          </w:p>
        </w:tc>
      </w:tr>
      <w:tr w:rsidR="00D87C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7CDE" w:rsidRDefault="00AC602F">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D87CDE" w:rsidRDefault="00AC602F">
            <w:pPr>
              <w:pStyle w:val="ProductList-TableBody"/>
            </w:pPr>
            <w:r>
              <w:t>Skype para Empresas Online Plan 2G User SL</w:t>
            </w:r>
          </w:p>
        </w:tc>
      </w:tr>
      <w:tr w:rsidR="00D87C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7CDE" w:rsidRDefault="00AC602F">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87CDE" w:rsidRDefault="00AC602F">
            <w:pPr>
              <w:pStyle w:val="ProductList-TableBody"/>
            </w:pPr>
            <w:r>
              <w:t>Live Meeting Professional</w:t>
            </w:r>
            <w:r>
              <w:fldChar w:fldCharType="begin"/>
            </w:r>
            <w:r>
              <w:instrText xml:space="preserve"> XE "Live Meeting Professional" </w:instrText>
            </w:r>
            <w:r>
              <w:fldChar w:fldCharType="end"/>
            </w:r>
            <w:r>
              <w:t xml:space="preserve"> User SL</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CDE" w:rsidRDefault="00AC602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Indented"/>
      </w:pPr>
    </w:p>
    <w:p w:rsidR="00D87CDE" w:rsidRDefault="00AC602F">
      <w:pPr>
        <w:pStyle w:val="ProductList-SubClauseHeading"/>
        <w:outlineLvl w:val="5"/>
      </w:pPr>
      <w:r>
        <w:t>3.1.2 Funcionalidade Adicional Associada a Skype para Empresas Server Plus CAL</w:t>
      </w:r>
    </w:p>
    <w:p w:rsidR="00D87CDE" w:rsidRDefault="00AC602F">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87CDE" w:rsidRDefault="00AC602F">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D87CDE" w:rsidRDefault="00AC602F">
            <w:pPr>
              <w:pStyle w:val="ProductList-TableBody"/>
            </w:pPr>
            <w:r>
              <w:t xml:space="preserve">Licença Equivalente de CAL (consulte o </w:t>
            </w:r>
            <w:hyperlink w:anchor="_Sec591">
              <w:r>
                <w:rPr>
                  <w:color w:val="00467F"/>
                  <w:u w:val="single"/>
                </w:rPr>
                <w:t>Apêndice A</w:t>
              </w:r>
            </w:hyperlink>
            <w:r>
              <w:t>)</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CDE" w:rsidRDefault="00AC602F">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D87CDE" w:rsidRDefault="00AC602F">
            <w:pPr>
              <w:pStyle w:val="ProductList-TableBody"/>
            </w:pPr>
            <w:r>
              <w:t>Skype for Business Plus CAL User SL</w:t>
            </w:r>
          </w:p>
        </w:tc>
      </w:tr>
    </w:tbl>
    <w:p w:rsidR="00D87CDE" w:rsidRDefault="00D87CDE">
      <w:pPr>
        <w:pStyle w:val="ProductList-BodyIndented"/>
      </w:pPr>
    </w:p>
    <w:p w:rsidR="00D87CDE" w:rsidRDefault="00AC602F">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Função de Servidor de Conferências Áudio/Vídeo</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Função de Diretor</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Função de Servidor de Mediação</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Ferramenta de Administração para Conversas em Grupo do Microsoft Lync Server 2013</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Snap-in do PowerShell</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Função de Aplicação de Filial Persistente</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Função de Servidor de Interoperabilidade de Vídeo</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pPr>
          </w:p>
        </w:tc>
      </w:tr>
    </w:tbl>
    <w:p w:rsidR="00D87CDE" w:rsidRDefault="00AC602F">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URBreadcrumb"/>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1HeadingNoBorder"/>
        <w:outlineLvl w:val="1"/>
      </w:pPr>
      <w:bookmarkStart w:id="125" w:name="_Sec883"/>
      <w:r>
        <w:t>R Server</w:t>
      </w:r>
      <w:bookmarkEnd w:id="125"/>
      <w:r>
        <w:fldChar w:fldCharType="begin"/>
      </w:r>
      <w:r>
        <w:instrText xml:space="preserve"> TC "</w:instrText>
      </w:r>
      <w:bookmarkStart w:id="126" w:name="_Toc452110471"/>
      <w:r>
        <w:instrText>R Server</w:instrText>
      </w:r>
      <w:bookmarkEnd w:id="126"/>
      <w:r>
        <w:instrText xml:space="preserve"> " \l 2</w:instrText>
      </w:r>
      <w:r>
        <w:fldChar w:fldCharType="end"/>
      </w:r>
    </w:p>
    <w:p w:rsidR="00D87CDE" w:rsidRDefault="00AC602F">
      <w:pPr>
        <w:pStyle w:val="ProductList-Offering1SubSection"/>
        <w:outlineLvl w:val="2"/>
      </w:pPr>
      <w:bookmarkStart w:id="127" w:name="_Sec884"/>
      <w:r>
        <w:t>1. Disponibilidade do Programa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87CDE" w:rsidRDefault="00AC602F">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none" w:sz="4" w:space="0" w:color="FFFFFF"/>
              <w:left w:val="none" w:sz="4" w:space="0" w:color="FFFFFF"/>
              <w:bottom w:val="dashed" w:sz="4" w:space="0" w:color="BFBFBF"/>
              <w:right w:val="none" w:sz="4" w:space="0" w:color="FFFFFF"/>
            </w:tcBorders>
          </w:tcPr>
          <w:p w:rsidR="00D87CDE" w:rsidRDefault="00AC602F">
            <w:pPr>
              <w:pStyle w:val="ProductList-TableBody"/>
            </w:pPr>
            <w:r>
              <w:t>R Server 2016 para Hadoop em Red Hat</w:t>
            </w:r>
            <w:r>
              <w:fldChar w:fldCharType="begin"/>
            </w:r>
            <w:r>
              <w:instrText xml:space="preserve"> XE "R Server 2016 para Hadoop em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87CDE" w:rsidRDefault="00AC602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87CDE" w:rsidRDefault="00D87CD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87CDE" w:rsidRDefault="00D87CD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87CDE" w:rsidRDefault="00D87C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pPr>
            <w:r>
              <w:rPr>
                <w:color w:val="000000"/>
              </w:rPr>
              <w:t>R Server 2016 para Red Hat Linux</w:t>
            </w:r>
            <w:r>
              <w:fldChar w:fldCharType="begin"/>
            </w:r>
            <w:r>
              <w:instrText xml:space="preserve"> XE "R Server 2016 para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87CDE" w:rsidRDefault="00D87CD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87CDE" w:rsidRDefault="00D87C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87CDE" w:rsidRDefault="00D87C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pPr>
            <w:r>
              <w:t>R Server 2016 para SUSE Linux</w:t>
            </w:r>
            <w:r>
              <w:fldChar w:fldCharType="begin"/>
            </w:r>
            <w:r>
              <w:instrText xml:space="preserve"> XE "R Server 2016 para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87CDE" w:rsidRDefault="00D87CD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87CDE" w:rsidRDefault="00D87C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87CDE" w:rsidRDefault="00D87C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87CDE" w:rsidRDefault="00D87CD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87CDE" w:rsidRDefault="00D87C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87CDE" w:rsidRDefault="00D87C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2"/>
      </w:pPr>
      <w:bookmarkStart w:id="128" w:name="_Sec885"/>
      <w:r>
        <w:t>2. Condições do Produto</w:t>
      </w:r>
      <w:bookmarkEnd w:id="128"/>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2"/>
      </w:pPr>
      <w:bookmarkStart w:id="129" w:name="_Sec886"/>
      <w:r>
        <w:t>3. Direitos de Utilização</w:t>
      </w:r>
      <w:bookmarkEnd w:id="129"/>
    </w:p>
    <w:tbl>
      <w:tblPr>
        <w:tblStyle w:val="PURTable"/>
        <w:tblW w:w="0" w:type="dxa"/>
        <w:tblLook w:val="04A0" w:firstRow="1" w:lastRow="0" w:firstColumn="1" w:lastColumn="0" w:noHBand="0" w:noVBand="1"/>
      </w:tblPr>
      <w:tblGrid>
        <w:gridCol w:w="3610"/>
        <w:gridCol w:w="3603"/>
        <w:gridCol w:w="357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Red Hat Linux e SUSE Linux, </w:t>
            </w:r>
            <w:hyperlink w:anchor="_Sec545">
              <w:r>
                <w:rPr>
                  <w:color w:val="00467F"/>
                  <w:u w:val="single"/>
                </w:rPr>
                <w:t xml:space="preserve">Servidores Especializados </w:t>
              </w:r>
            </w:hyperlink>
            <w:r>
              <w:t>– edições Hadoop em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Software Adicional: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Tecnologias Incluídas: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3"/>
      </w:pPr>
      <w:r>
        <w:t>3.1 R Server 2016 para Hadoop em Red Hat e R Server para Teradata DB</w:t>
      </w:r>
    </w:p>
    <w:p w:rsidR="00D87CDE" w:rsidRDefault="00AC602F">
      <w:pPr>
        <w:pStyle w:val="ProductList-Body"/>
      </w:pPr>
      <w:r>
        <w:t xml:space="preserve">Cada Licença de Servidor para R Server 2016 para Hadoop em Red Hat e R Server 2016 para Teradata DB abrange até 16 núcleos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D87CDE" w:rsidRDefault="00AC602F">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URBreadcrumb"/>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1HeadingNoBorder"/>
        <w:outlineLvl w:val="1"/>
      </w:pPr>
      <w:bookmarkStart w:id="131" w:name="_Sec614"/>
      <w:r>
        <w:t>SQL Server</w:t>
      </w:r>
      <w:bookmarkEnd w:id="131"/>
      <w:r>
        <w:fldChar w:fldCharType="begin"/>
      </w:r>
      <w:r>
        <w:instrText xml:space="preserve"> TC "</w:instrText>
      </w:r>
      <w:bookmarkStart w:id="132" w:name="_Toc452110472"/>
      <w:r>
        <w:instrText>SQL Server</w:instrText>
      </w:r>
      <w:bookmarkEnd w:id="132"/>
      <w:r>
        <w:instrText>" \l 2</w:instrText>
      </w:r>
      <w:r>
        <w:fldChar w:fldCharType="end"/>
      </w:r>
    </w:p>
    <w:p w:rsidR="00D87CDE" w:rsidRDefault="00AC602F">
      <w:pPr>
        <w:pStyle w:val="ProductList-Offering1SubSection"/>
        <w:outlineLvl w:val="2"/>
      </w:pPr>
      <w:bookmarkStart w:id="133" w:name="_Sec688"/>
      <w:r>
        <w:t>1. Disponibilidade do Programa</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SQL Server 2016 Standard Core</w:t>
            </w:r>
            <w:r>
              <w:fldChar w:fldCharType="begin"/>
            </w:r>
            <w:r>
              <w:instrText xml:space="preserve"> XE "SQL Server 2016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SQL Server 2016 Enterprise Core</w:t>
            </w:r>
            <w:r>
              <w:fldChar w:fldCharType="begin"/>
            </w:r>
            <w:r>
              <w:instrText xml:space="preserve"> XE "SQL Server 2016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CAL para SQL Server 2016</w:t>
            </w:r>
            <w:r>
              <w:fldChar w:fldCharType="begin"/>
            </w:r>
            <w:r>
              <w:instrText xml:space="preserve"> XE "CAL para SQL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2"/>
      </w:pPr>
      <w:bookmarkStart w:id="134" w:name="_Sec743"/>
      <w:r>
        <w:t>2. Condições do Produto</w:t>
      </w:r>
      <w:bookmarkEnd w:id="134"/>
    </w:p>
    <w:tbl>
      <w:tblPr>
        <w:tblStyle w:val="PURTable"/>
        <w:tblW w:w="0" w:type="dxa"/>
        <w:tblLook w:val="04A0" w:firstRow="1" w:lastRow="0" w:firstColumn="1" w:lastColumn="0" w:noHBand="0" w:noVBand="1"/>
      </w:tblPr>
      <w:tblGrid>
        <w:gridCol w:w="3601"/>
        <w:gridCol w:w="3594"/>
        <w:gridCol w:w="3595"/>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3"/>
      </w:pPr>
      <w:r>
        <w:t>2.1 SQL Server 2016 Enterprise</w:t>
      </w:r>
    </w:p>
    <w:p w:rsidR="00D87CDE" w:rsidRDefault="00AC602F">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2016 Enterprise</w:t>
      </w:r>
      <w:r>
        <w:fldChar w:fldCharType="begin"/>
      </w:r>
      <w:r>
        <w:instrText xml:space="preserve"> XE "SQL Server 2016 Enterprise" </w:instrText>
      </w:r>
      <w:r>
        <w:fldChar w:fldCharType="end"/>
      </w:r>
      <w:r>
        <w:t xml:space="preserve"> (Servidor/CAL).</w:t>
      </w:r>
    </w:p>
    <w:p w:rsidR="00D87CDE" w:rsidRDefault="00D87CDE">
      <w:pPr>
        <w:pStyle w:val="ProductList-Body"/>
      </w:pPr>
    </w:p>
    <w:p w:rsidR="00D87CDE" w:rsidRDefault="00AC602F">
      <w:pPr>
        <w:pStyle w:val="ProductList-ClauseHeading"/>
        <w:outlineLvl w:val="3"/>
      </w:pPr>
      <w:r>
        <w:t>2.2 SQL Server Parallel Data Warehouse</w:t>
      </w:r>
    </w:p>
    <w:p w:rsidR="00D87CDE" w:rsidRDefault="00AC602F">
      <w:pPr>
        <w:pStyle w:val="ProductList-Body"/>
      </w:pPr>
      <w:r>
        <w:t>O SQL Server Parallel Data Warehouse é uma opção de implementação para os clientes do SQL Server 2016 Enterprise</w:t>
      </w:r>
      <w:r>
        <w:fldChar w:fldCharType="begin"/>
      </w:r>
      <w:r>
        <w:instrText xml:space="preserve"> XE "clientes do SQL Server 2016 Enterprise" </w:instrText>
      </w:r>
      <w:r>
        <w:fldChar w:fldCharType="end"/>
      </w:r>
      <w:r>
        <w:t>. Os clientes são elegíveis para utilizar apenas as compilações de software disponibilizadas durante a vigência da respetiva cobertura SA.</w:t>
      </w:r>
    </w:p>
    <w:p w:rsidR="00D87CDE" w:rsidRDefault="00D87CDE">
      <w:pPr>
        <w:pStyle w:val="ProductList-Body"/>
      </w:pPr>
    </w:p>
    <w:p w:rsidR="00D87CDE" w:rsidRDefault="00AC602F">
      <w:pPr>
        <w:pStyle w:val="ProductList-ClauseHeading"/>
        <w:outlineLvl w:val="3"/>
      </w:pPr>
      <w:r>
        <w:t>2.3 Compilação Opcional do SQL Server Parallel Data Warehouse sem Oracle Java</w:t>
      </w:r>
    </w:p>
    <w:p w:rsidR="00D87CDE" w:rsidRDefault="00AC602F">
      <w:pPr>
        <w:pStyle w:val="ProductList-Body"/>
      </w:pPr>
      <w:r>
        <w:t xml:space="preserve">Os clientes poderão adquirir uma compilação do produto com Oracle Java ou, a pedido, sem Oracle Java. Para mais informações, visite </w:t>
      </w:r>
      <w:hyperlink r:id="rId53">
        <w:r>
          <w:rPr>
            <w:color w:val="00467F"/>
            <w:u w:val="single"/>
          </w:rPr>
          <w:t>http://www.microsoft.com/en-us/sqlserver/solutions-technologies/data-warehousing/pdw.aspx</w:t>
        </w:r>
      </w:hyperlink>
      <w:r>
        <w:t>.</w:t>
      </w:r>
    </w:p>
    <w:p w:rsidR="00D87CDE" w:rsidRDefault="00AC602F">
      <w:pPr>
        <w:pStyle w:val="ProductList-Offering1SubSection"/>
        <w:outlineLvl w:val="2"/>
      </w:pPr>
      <w:bookmarkStart w:id="135" w:name="_Sec794"/>
      <w:r>
        <w:t>3. Direitos de Utilização</w:t>
      </w:r>
      <w:bookmarkEnd w:id="135"/>
    </w:p>
    <w:tbl>
      <w:tblPr>
        <w:tblStyle w:val="PURTable"/>
        <w:tblW w:w="0" w:type="dxa"/>
        <w:tblLook w:val="04A0" w:firstRow="1" w:lastRow="0" w:firstColumn="1" w:lastColumn="0" w:noHBand="0" w:noVBand="1"/>
      </w:tblPr>
      <w:tblGrid>
        <w:gridCol w:w="3603"/>
        <w:gridCol w:w="3596"/>
        <w:gridCol w:w="3591"/>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e Enterprise,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87CDE" w:rsidRDefault="00AC602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CAL para SQL Server 2016</w:t>
            </w:r>
          </w:p>
        </w:tc>
        <w:tc>
          <w:tcPr>
            <w:tcW w:w="4040" w:type="dxa"/>
            <w:tcBorders>
              <w:top w:val="single" w:sz="18" w:space="0" w:color="0072C6"/>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3"/>
      </w:pPr>
      <w:r>
        <w:t>3.2 Atualizações Automáticas a Versões Anteriores do SQL Server</w:t>
      </w:r>
    </w:p>
    <w:p w:rsidR="00D87CDE" w:rsidRDefault="00AC602F">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D87CDE" w:rsidRDefault="00D87CDE">
      <w:pPr>
        <w:pStyle w:val="ProductList-Body"/>
      </w:pPr>
    </w:p>
    <w:p w:rsidR="00D87CDE" w:rsidRDefault="00AC602F">
      <w:pPr>
        <w:pStyle w:val="ProductList-ClauseHeading"/>
        <w:outlineLvl w:val="3"/>
      </w:pPr>
      <w:r>
        <w:t>3.3 Instâncias em Execução para Standard Edition</w:t>
      </w:r>
    </w:p>
    <w:p w:rsidR="00D87CDE" w:rsidRDefault="00AC602F">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D87CDE" w:rsidRDefault="00D87CDE">
      <w:pPr>
        <w:pStyle w:val="ProductList-Body"/>
      </w:pPr>
    </w:p>
    <w:p w:rsidR="00D87CDE" w:rsidRDefault="00AC602F">
      <w:pPr>
        <w:pStyle w:val="ProductList-ClauseHeading"/>
        <w:outlineLvl w:val="3"/>
      </w:pPr>
      <w:r>
        <w:t>3.4 Instâncias em Execução para SQL Server Enterprise (Servidor/CAL)</w:t>
      </w:r>
    </w:p>
    <w:p w:rsidR="00D87CDE" w:rsidRDefault="00AC602F">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até quatro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 cada vez. Se o Cliente executar o software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poderá aceder a até 20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de cada vez. Se o Cliente executar o software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esse conjunto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poderá aceder a até 20 Threads de Hardware de cada vez. Se o Cliente atribuir mais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por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atribuída, o Cliente poderá executar o software em quatro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sujeitos às mesmas limitações. </w:t>
      </w:r>
    </w:p>
    <w:p w:rsidR="00D87CDE" w:rsidRDefault="00D87CDE">
      <w:pPr>
        <w:pStyle w:val="ProductList-Body"/>
      </w:pPr>
    </w:p>
    <w:p w:rsidR="00D87CDE" w:rsidRDefault="00AC602F">
      <w:pPr>
        <w:pStyle w:val="ProductList-ClauseHeading"/>
        <w:outlineLvl w:val="3"/>
      </w:pPr>
      <w:r>
        <w:t>3.5 Servidores de Ativação Pós-falha para Parallel Data Warehouse (PDW)</w:t>
      </w:r>
    </w:p>
    <w:p w:rsidR="00D87CDE" w:rsidRDefault="00AC602F">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D87CDE" w:rsidRDefault="00D87CDE">
      <w:pPr>
        <w:pStyle w:val="ProductList-Body"/>
      </w:pPr>
    </w:p>
    <w:p w:rsidR="00D87CDE" w:rsidRDefault="00AC602F">
      <w:pPr>
        <w:pStyle w:val="ProductList-ClauseHeading"/>
        <w:outlineLvl w:val="3"/>
      </w:pPr>
      <w:r>
        <w:t>3.6 Software Adicional</w:t>
      </w:r>
    </w:p>
    <w:p w:rsidR="00D87CDE" w:rsidRDefault="00AC602F">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Conectividade das Ferramentas de Cliente</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Cliente Distributed Replay</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Ferramentas de Gestão - Completo</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Indented"/>
      </w:pPr>
    </w:p>
    <w:p w:rsidR="00D87CDE" w:rsidRDefault="00AC602F">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D87C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7CDE" w:rsidRDefault="00D87CDE">
            <w:pPr>
              <w:pStyle w:val="ProductList-TableBody"/>
            </w:pPr>
          </w:p>
        </w:tc>
      </w:tr>
    </w:tbl>
    <w:p w:rsidR="00D87CDE" w:rsidRDefault="00AC602F">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5"/>
        <w:gridCol w:w="3601"/>
        <w:gridCol w:w="359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SQL Server 2014 Business Intelligence e Parallel Data Warehouse (Secção 4)</w:t>
            </w:r>
          </w:p>
          <w:p w:rsidR="00D87CDE" w:rsidRDefault="0050418C">
            <w:pPr>
              <w:pStyle w:val="ProductList-TableBody"/>
            </w:pPr>
            <w:hyperlink r:id="rId54">
              <w:r w:rsidR="00AC602F">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URBreadcrumb"/>
      </w:pPr>
    </w:p>
    <w:p w:rsidR="00D87CDE" w:rsidRDefault="00AC602F">
      <w:pPr>
        <w:pStyle w:val="ProductList-ClauseHeading"/>
        <w:outlineLvl w:val="3"/>
      </w:pPr>
      <w:r>
        <w:t>4.1 Direitos de Migração do SQL Server Business Intelligence</w:t>
      </w:r>
    </w:p>
    <w:p w:rsidR="00D87CDE" w:rsidRDefault="00AC602F">
      <w:pPr>
        <w:pStyle w:val="ProductList-Body"/>
      </w:pPr>
      <w:r>
        <w:t xml:space="preserve">Os Clientes com Licenças SQL Server Business Intelligence com cobertura SA desde 1 de maio de 2016, que permanecem ativas até 1 de junho de 2016 (Licenças Qualificáveis), são elegíveis para atualizar para o SQL Server 2016 Enterprise (Servidor/CAL) e utilizá-lo em vez do Business Intelligence Edition (Licenças de Migração), sujeitos aos termos e condições de Direitos de Migração no </w:t>
      </w:r>
      <w:hyperlink w:anchor="_Sec564">
        <w:r>
          <w:rPr>
            <w:color w:val="000000"/>
          </w:rPr>
          <w:t>Apêndice B</w:t>
        </w:r>
      </w:hyperlink>
      <w:r>
        <w:t>. Estes Clientes também poderão renovar a cobertura SA para o SQL Server Enterprise (Servidor/CAL), sujeitos a esses mesmos termos. Para os Clientes que adquirem Licenças ao abrigo de programas com Direitos True-up, as Licenças da Business Intelligence Edition adquiridas após 1 de maio de 2016, num montante até 25% o número de Licenças adquiridas anteriormente, serão Licenças Qualificáveis. Estas Licenças terão de ser adquiridas durante o mesmo período de inscrição.</w:t>
      </w:r>
    </w:p>
    <w:p w:rsidR="00D87CDE" w:rsidRDefault="00D87CDE">
      <w:pPr>
        <w:pStyle w:val="ProductList-Body"/>
      </w:pPr>
    </w:p>
    <w:p w:rsidR="00D87CDE" w:rsidRDefault="00AC602F">
      <w:pPr>
        <w:pStyle w:val="ProductList-ClauseHeading"/>
        <w:outlineLvl w:val="3"/>
      </w:pPr>
      <w:r>
        <w:t>4.2 Direitos de Migração do SQL Server Parallel Data Warehouse (PDW)</w:t>
      </w:r>
    </w:p>
    <w:p w:rsidR="00D87CDE" w:rsidRDefault="00AC602F">
      <w:pPr>
        <w:pStyle w:val="ProductList-Body"/>
      </w:pPr>
      <w:r>
        <w:t xml:space="preserve">Os Clientes com Licenças SQL Server PDW com cobertura SA desde 1 de junho de 2016 (Licenças Qualificáveis) são elegíveis para atualizar e utilizar o SQL Server 2016 Enterprise Core em vez do PDW (Licenças de Migração), sujeitos aos termos e condições de Direitos de Migração no </w:t>
      </w:r>
      <w:hyperlink w:anchor="_Sec564">
        <w:r>
          <w:rPr>
            <w:color w:val="000000"/>
          </w:rPr>
          <w:t>Apêndice B</w:t>
        </w:r>
      </w:hyperlink>
      <w:r>
        <w:t>. Estes Clientes também poderão renovar a cobertura SA para o SQL Server Enterprise Core, sujeitos a esses mesmos termos.</w:t>
      </w:r>
    </w:p>
    <w:p w:rsidR="00D87CDE" w:rsidRDefault="00D87CDE">
      <w:pPr>
        <w:pStyle w:val="ProductList-ClauseHeading"/>
        <w:outlineLvl w:val="3"/>
      </w:pPr>
    </w:p>
    <w:p w:rsidR="00D87CDE" w:rsidRDefault="00AC602F">
      <w:pPr>
        <w:pStyle w:val="ProductList-ClauseHeading"/>
        <w:outlineLvl w:val="3"/>
      </w:pPr>
      <w:r>
        <w:t>4.3 SQL Server 2014 Enterprise Core – Virtualização Ilimitada</w:t>
      </w:r>
    </w:p>
    <w:p w:rsidR="00D87CDE" w:rsidRDefault="00AC602F">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D87CDE" w:rsidRDefault="00D87CDE">
      <w:pPr>
        <w:pStyle w:val="ProductList-Body"/>
      </w:pPr>
    </w:p>
    <w:p w:rsidR="00D87CDE" w:rsidRDefault="00AC602F">
      <w:pPr>
        <w:pStyle w:val="ProductList-ClauseHeading"/>
        <w:outlineLvl w:val="3"/>
      </w:pPr>
      <w:r>
        <w:t>4.4 SQL Server 2016 Enterprise Core - Atualizações de Funcionalidades do Parallel Data Warehouse</w:t>
      </w:r>
    </w:p>
    <w:p w:rsidR="00D87CDE" w:rsidRDefault="00AC602F">
      <w:pPr>
        <w:pStyle w:val="ProductList-Body"/>
      </w:pPr>
      <w:r>
        <w:t>Os Clientes com cobertura SA são elegíveis para versões de funcionalidades do Parallel Data Warehouse (por exemplo, atualizações de aplicações) entre versões de produtos principais.</w:t>
      </w:r>
    </w:p>
    <w:p w:rsidR="00D87CDE" w:rsidRDefault="00D87CDE">
      <w:pPr>
        <w:pStyle w:val="ProductList-Body"/>
      </w:pPr>
    </w:p>
    <w:p w:rsidR="00D87CDE" w:rsidRDefault="00AC602F">
      <w:pPr>
        <w:pStyle w:val="ProductList-ClauseHeading"/>
        <w:outlineLvl w:val="3"/>
      </w:pPr>
      <w:r>
        <w:t>4.5 Opção de Aquisição “Buy-Out” do SQL Server ao abrigo da Enrollment for Application Platform EAP</w:t>
      </w:r>
    </w:p>
    <w:p w:rsidR="00D87CDE" w:rsidRDefault="00AC602F">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D87CDE" w:rsidRDefault="00D87CDE">
      <w:pPr>
        <w:pStyle w:val="ProductList-Body"/>
      </w:pPr>
    </w:p>
    <w:p w:rsidR="00D87CDE" w:rsidRDefault="00AC602F">
      <w:pPr>
        <w:pStyle w:val="ProductList-ClauseHeading"/>
        <w:outlineLvl w:val="3"/>
      </w:pPr>
      <w:r>
        <w:t>4.6 Direitos e Benefícios do Software Assurance para Licenças de Subscrição</w:t>
      </w:r>
    </w:p>
    <w:p w:rsidR="00D87CDE" w:rsidRDefault="00AC602F">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D87CDE" w:rsidRDefault="00D87CDE">
      <w:pPr>
        <w:pStyle w:val="PURBreadcrumb"/>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GroupHeading"/>
        <w:outlineLvl w:val="1"/>
      </w:pPr>
      <w:bookmarkStart w:id="137" w:name="_Sec615"/>
      <w:r>
        <w:t>System Center</w:t>
      </w:r>
      <w:bookmarkEnd w:id="137"/>
      <w:r>
        <w:fldChar w:fldCharType="begin"/>
      </w:r>
      <w:r>
        <w:instrText xml:space="preserve"> TC "</w:instrText>
      </w:r>
      <w:bookmarkStart w:id="138" w:name="_Toc452110473"/>
      <w:r>
        <w:instrText>System Center</w:instrText>
      </w:r>
      <w:bookmarkEnd w:id="138"/>
      <w:r>
        <w:instrText>" \l 2</w:instrText>
      </w:r>
      <w:r>
        <w:fldChar w:fldCharType="end"/>
      </w:r>
    </w:p>
    <w:p w:rsidR="00D87CDE" w:rsidRDefault="00AC602F">
      <w:pPr>
        <w:pStyle w:val="ProductList-Offering2HeadingNoBorder"/>
        <w:outlineLvl w:val="2"/>
      </w:pPr>
      <w:bookmarkStart w:id="139" w:name="_Sec642"/>
      <w:r>
        <w:t>System Center Server</w:t>
      </w:r>
      <w:bookmarkEnd w:id="139"/>
      <w:r>
        <w:fldChar w:fldCharType="begin"/>
      </w:r>
      <w:r>
        <w:instrText xml:space="preserve"> TC "</w:instrText>
      </w:r>
      <w:bookmarkStart w:id="140" w:name="_Toc452110474"/>
      <w:r>
        <w:instrText>System Center Server</w:instrText>
      </w:r>
      <w:bookmarkEnd w:id="140"/>
      <w:r>
        <w:instrText>" \l 3</w:instrText>
      </w:r>
      <w:r>
        <w:fldChar w:fldCharType="end"/>
      </w:r>
    </w:p>
    <w:p w:rsidR="00D87CDE" w:rsidRDefault="00AC602F">
      <w:pPr>
        <w:pStyle w:val="ProductList-Offering1SubSection"/>
        <w:outlineLvl w:val="3"/>
      </w:pPr>
      <w:bookmarkStart w:id="141" w:name="_Sec689"/>
      <w:r>
        <w:t>1. Disponibilidade do Programa</w:t>
      </w:r>
      <w:bookmarkEnd w:id="141"/>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processadores)</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processadores)</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3"/>
      </w:pPr>
      <w:bookmarkStart w:id="142" w:name="_Sec744"/>
      <w:r>
        <w:t>2. Condições do Produto</w:t>
      </w:r>
      <w:bookmarkEnd w:id="142"/>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Offering1SubSection"/>
        <w:outlineLvl w:val="3"/>
      </w:pPr>
      <w:bookmarkStart w:id="143" w:name="_Sec797"/>
      <w:r>
        <w:t>3. Direitos de Utilização</w:t>
      </w:r>
      <w:bookmarkEnd w:id="143"/>
    </w:p>
    <w:tbl>
      <w:tblPr>
        <w:tblStyle w:val="PURTable"/>
        <w:tblW w:w="0" w:type="dxa"/>
        <w:tblLook w:val="04A0" w:firstRow="1" w:lastRow="0" w:firstColumn="1" w:lastColumn="0" w:noHBand="0" w:noVBand="1"/>
      </w:tblPr>
      <w:tblGrid>
        <w:gridCol w:w="3609"/>
        <w:gridCol w:w="3593"/>
        <w:gridCol w:w="358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Software Adicional: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16"/>
        <w:gridCol w:w="3623"/>
        <w:gridCol w:w="3551"/>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Licença de Gestão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3.2 Licença de Gestão - System Center 2012 R2 Datacenter</w:t>
      </w:r>
    </w:p>
    <w:tbl>
      <w:tblPr>
        <w:tblStyle w:val="PURTable"/>
        <w:tblW w:w="0" w:type="dxa"/>
        <w:tblLook w:val="04A0" w:firstRow="1" w:lastRow="0" w:firstColumn="1" w:lastColumn="0" w:noHBand="0" w:noVBand="1"/>
      </w:tblPr>
      <w:tblGrid>
        <w:gridCol w:w="3612"/>
        <w:gridCol w:w="3634"/>
        <w:gridCol w:w="354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Licença de Gestão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3.3 Tecnologia SQL Server</w:t>
      </w:r>
    </w:p>
    <w:p w:rsidR="00D87CDE" w:rsidRDefault="00AC602F">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D87CDE" w:rsidRDefault="00AC602F">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02"/>
        <w:gridCol w:w="3610"/>
        <w:gridCol w:w="357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4.1 System Center Global Service Monitor</w:t>
      </w:r>
    </w:p>
    <w:p w:rsidR="00D87CDE" w:rsidRDefault="00AC602F">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10475"/>
      <w:r>
        <w:instrText>System Center Client Management Suite</w:instrText>
      </w:r>
      <w:bookmarkEnd w:id="146"/>
      <w:r>
        <w:instrText>" \l 3</w:instrText>
      </w:r>
      <w:r>
        <w:fldChar w:fldCharType="end"/>
      </w:r>
    </w:p>
    <w:p w:rsidR="00D87CDE" w:rsidRDefault="00AC602F">
      <w:pPr>
        <w:pStyle w:val="ProductList-Offering1SubSection"/>
        <w:outlineLvl w:val="3"/>
      </w:pPr>
      <w:bookmarkStart w:id="147" w:name="_Sec690"/>
      <w:r>
        <w:t>1. Disponibilidade do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System Center 2012 R2 Client Management Suite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148" w:name="_Sec745"/>
      <w:r>
        <w:t>2. Condições do Produto</w:t>
      </w:r>
      <w:bookmarkEnd w:id="148"/>
    </w:p>
    <w:tbl>
      <w:tblPr>
        <w:tblStyle w:val="PURTable"/>
        <w:tblW w:w="0" w:type="dxa"/>
        <w:tblLook w:val="04A0" w:firstRow="1" w:lastRow="0" w:firstColumn="1" w:lastColumn="0" w:noHBand="0" w:noVBand="1"/>
      </w:tblPr>
      <w:tblGrid>
        <w:gridCol w:w="3608"/>
        <w:gridCol w:w="3595"/>
        <w:gridCol w:w="358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Promoção do System Center Client Management Suite </w:t>
            </w:r>
            <w:hyperlink w:anchor="_Sec867">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3"/>
      </w:pPr>
      <w:bookmarkStart w:id="149" w:name="_Sec801"/>
      <w:r>
        <w:t>3. Direitos de Utilização</w:t>
      </w:r>
      <w:bookmarkEnd w:id="149"/>
    </w:p>
    <w:tbl>
      <w:tblPr>
        <w:tblStyle w:val="PURTable"/>
        <w:tblW w:w="0" w:type="dxa"/>
        <w:tblLook w:val="04A0" w:firstRow="1" w:lastRow="0" w:firstColumn="1" w:lastColumn="0" w:noHBand="0" w:noVBand="1"/>
      </w:tblPr>
      <w:tblGrid>
        <w:gridCol w:w="3609"/>
        <w:gridCol w:w="3593"/>
        <w:gridCol w:w="358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Software Adicional: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00"/>
        <w:gridCol w:w="3650"/>
        <w:gridCol w:w="354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System Center 2012 R2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3.2 Tecnologia SQL Server</w:t>
      </w:r>
    </w:p>
    <w:p w:rsidR="00D87CDE" w:rsidRDefault="00AC602F">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D87CDE" w:rsidRDefault="00AC602F">
      <w:pPr>
        <w:pStyle w:val="ProductList-Offering1SubSection"/>
        <w:outlineLvl w:val="3"/>
      </w:pPr>
      <w:bookmarkStart w:id="150" w:name="_Sec816"/>
      <w:r>
        <w:t>4. Software Assurance</w:t>
      </w:r>
      <w:bookmarkEnd w:id="150"/>
    </w:p>
    <w:p w:rsidR="00D87CDE" w:rsidRDefault="00D87CDE">
      <w:pPr>
        <w:pStyle w:val="ProductList-ClauseHeading"/>
        <w:outlineLvl w:val="4"/>
      </w:pPr>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D87CDE">
      <w:pPr>
        <w:pStyle w:val="PURBreadcrumb"/>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10476"/>
      <w:r>
        <w:instrText>System Center Configuration Manager</w:instrText>
      </w:r>
      <w:bookmarkEnd w:id="152"/>
      <w:r>
        <w:instrText>" \l 3</w:instrText>
      </w:r>
      <w:r>
        <w:fldChar w:fldCharType="end"/>
      </w:r>
    </w:p>
    <w:p w:rsidR="00D87CDE" w:rsidRDefault="00AC602F">
      <w:pPr>
        <w:pStyle w:val="ProductList-Offering1SubSection"/>
        <w:outlineLvl w:val="3"/>
      </w:pPr>
      <w:bookmarkStart w:id="153" w:name="_Sec691"/>
      <w:r>
        <w:t>1. Disponibilidade do Programa</w:t>
      </w:r>
      <w:bookmarkEnd w:id="153"/>
    </w:p>
    <w:p w:rsidR="00D87CDE" w:rsidRDefault="00D87CDE">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154" w:name="_Sec746"/>
      <w:r>
        <w:t>2. Condições do Produto</w:t>
      </w:r>
      <w:bookmarkEnd w:id="154"/>
    </w:p>
    <w:tbl>
      <w:tblPr>
        <w:tblStyle w:val="PURTable"/>
        <w:tblW w:w="0" w:type="dxa"/>
        <w:tblLook w:val="04A0" w:firstRow="1" w:lastRow="0" w:firstColumn="1" w:lastColumn="0" w:noHBand="0" w:noVBand="1"/>
      </w:tblPr>
      <w:tblGrid>
        <w:gridCol w:w="3604"/>
        <w:gridCol w:w="3589"/>
        <w:gridCol w:w="359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3"/>
      </w:pPr>
      <w:bookmarkStart w:id="155" w:name="_Sec802"/>
      <w:r>
        <w:t>3. Direitos de Utilização</w:t>
      </w:r>
      <w:bookmarkEnd w:id="155"/>
    </w:p>
    <w:tbl>
      <w:tblPr>
        <w:tblStyle w:val="PURTable"/>
        <w:tblW w:w="0" w:type="dxa"/>
        <w:tblLook w:val="04A0" w:firstRow="1" w:lastRow="0" w:firstColumn="1" w:lastColumn="0" w:noHBand="0" w:noVBand="1"/>
      </w:tblPr>
      <w:tblGrid>
        <w:gridCol w:w="3609"/>
        <w:gridCol w:w="3593"/>
        <w:gridCol w:w="358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Software Adicional: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CDE" w:rsidRDefault="00AC602F">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D87CDE" w:rsidRDefault="00AC602F">
            <w:pPr>
              <w:pStyle w:val="ProductList-TableBody"/>
            </w:pPr>
            <w:r>
              <w:t>System Center 2012 R2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D87CDE" w:rsidRDefault="00AC602F">
            <w:pPr>
              <w:pStyle w:val="ProductList-TableBody"/>
            </w:pPr>
            <w:r>
              <w:t xml:space="preserve">Licença Equivalente de Licença de Gestão (consulte o </w:t>
            </w:r>
            <w:hyperlink w:anchor="_Sec591">
              <w:r>
                <w:rPr>
                  <w:color w:val="00467F"/>
                  <w:u w:val="single"/>
                </w:rPr>
                <w:t>Apêndice A</w:t>
              </w:r>
            </w:hyperlink>
            <w:r>
              <w:t>)</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CDE" w:rsidRDefault="00AC602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3.2 Tecnologia SQL Server</w:t>
      </w:r>
    </w:p>
    <w:p w:rsidR="00D87CDE" w:rsidRDefault="00AC602F">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D87CDE" w:rsidRDefault="00AC602F">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4.1 System Center Configuration Manager – Direitos VDI</w:t>
      </w:r>
    </w:p>
    <w:p w:rsidR="00D87CDE" w:rsidRDefault="00AC602F">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D87CDE" w:rsidRDefault="00D87CDE">
      <w:pPr>
        <w:pStyle w:val="ProductList-Body"/>
      </w:pPr>
    </w:p>
    <w:p w:rsidR="00D87CDE" w:rsidRDefault="00AC602F">
      <w:pPr>
        <w:pStyle w:val="ProductList-ClauseHeading"/>
        <w:outlineLvl w:val="4"/>
      </w:pPr>
      <w:r>
        <w:t>4.2 Direitos do System Center Configuration Manager (ramo atual)</w:t>
      </w:r>
    </w:p>
    <w:p w:rsidR="00D87CDE" w:rsidRDefault="00AC602F">
      <w:pPr>
        <w:pStyle w:val="ProductList-Body"/>
      </w:pPr>
      <w:r>
        <w:t>O System Center Configuration Manager (ramo atual) só pode ser utilizado por Clientes com a SA ativa do System Center Configuration Manager ou direitos de subscrição equivalentes. Os clientes que permitem que a SA ou subscrição cesse devem desinstalar o System Center Configuration Manager (ramo atual). Os clientes que têm direitos perpétuos sobre o System Center Configuration Manager poderão instalar a versão do System Center Configuration Manager atual no momento da cessação.</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10477"/>
      <w:r>
        <w:instrText>System Center Data Protection Manager</w:instrText>
      </w:r>
      <w:bookmarkEnd w:id="158"/>
      <w:r>
        <w:instrText>" \l 3</w:instrText>
      </w:r>
      <w:r>
        <w:fldChar w:fldCharType="end"/>
      </w:r>
    </w:p>
    <w:p w:rsidR="00D87CDE" w:rsidRDefault="00AC602F">
      <w:pPr>
        <w:pStyle w:val="ProductList-Body"/>
      </w:pPr>
      <w:r>
        <w:t>Os clientes académicos que procurem informações sobre como licenciar e utilizar o System Center Data Protection Manager 2010</w:t>
      </w:r>
      <w:r>
        <w:fldChar w:fldCharType="begin"/>
      </w:r>
      <w:r>
        <w:instrText xml:space="preserve"> XE "System Center Data Protection Manager 2010" </w:instrText>
      </w:r>
      <w:r>
        <w:fldChar w:fldCharType="end"/>
      </w:r>
      <w:r>
        <w:t xml:space="preserve"> deverão consultar os Direitos de Utilização de Produto de Abril de 2015 </w:t>
      </w:r>
      <w:hyperlink r:id="rId58">
        <w:r>
          <w:rPr>
            <w:color w:val="00467F"/>
            <w:u w:val="single"/>
          </w:rPr>
          <w:t>http://go.microsoft.com/?linkid=9839206</w:t>
        </w:r>
      </w:hyperlink>
      <w:r>
        <w:t xml:space="preserve"> e a Lista de Produto de Junho de 2015 </w:t>
      </w:r>
      <w:hyperlink r:id="rId59">
        <w:r>
          <w:rPr>
            <w:color w:val="00467F"/>
            <w:u w:val="single"/>
          </w:rPr>
          <w:t>http://go.microsoft.com/?linkid=9839207</w:t>
        </w:r>
      </w:hyperlink>
      <w:r>
        <w:t>.</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10478"/>
      <w:r>
        <w:instrText>System Center Endpoint Protection</w:instrText>
      </w:r>
      <w:bookmarkEnd w:id="160"/>
      <w:r>
        <w:instrText>" \l 3</w:instrText>
      </w:r>
      <w:r>
        <w:fldChar w:fldCharType="end"/>
      </w:r>
    </w:p>
    <w:p w:rsidR="00D87CDE" w:rsidRDefault="00AC602F">
      <w:pPr>
        <w:pStyle w:val="ProductList-Offering1SubSection"/>
        <w:outlineLvl w:val="3"/>
      </w:pPr>
      <w:bookmarkStart w:id="161" w:name="_Sec892"/>
      <w:r>
        <w:t>1. Disponibilidade do Programa</w:t>
      </w:r>
      <w:bookmarkEnd w:id="161"/>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none" w:sz="4" w:space="0" w:color="BFBFBF"/>
              <w:right w:val="none" w:sz="4" w:space="0" w:color="6E6E6E"/>
            </w:tcBorders>
          </w:tcPr>
          <w:p w:rsidR="00D87CDE" w:rsidRDefault="00AC602F">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D87CDE" w:rsidRDefault="00AC602F">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D87CDE" w:rsidRDefault="00AC602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87CDE" w:rsidRDefault="00D87CD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3"/>
      </w:pPr>
      <w:bookmarkStart w:id="162" w:name="_Sec893"/>
      <w:r>
        <w:t>2. Condições do Produto</w:t>
      </w:r>
      <w:bookmarkEnd w:id="162"/>
    </w:p>
    <w:tbl>
      <w:tblPr>
        <w:tblStyle w:val="PURTable"/>
        <w:tblW w:w="0" w:type="dxa"/>
        <w:tblLook w:val="04A0" w:firstRow="1" w:lastRow="0" w:firstColumn="1" w:lastColumn="0" w:noHBand="0" w:noVBand="1"/>
      </w:tblPr>
      <w:tblGrid>
        <w:gridCol w:w="3594"/>
        <w:gridCol w:w="3594"/>
        <w:gridCol w:w="3602"/>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(SA):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3"/>
      </w:pPr>
      <w:bookmarkStart w:id="163" w:name="_Sec894"/>
      <w:r>
        <w:t>3. Direitos de Utilização</w:t>
      </w:r>
      <w:bookmarkEnd w:id="163"/>
    </w:p>
    <w:tbl>
      <w:tblPr>
        <w:tblStyle w:val="PURTable"/>
        <w:tblW w:w="0" w:type="dxa"/>
        <w:tblLook w:val="04A0" w:firstRow="1" w:lastRow="0" w:firstColumn="1" w:lastColumn="0" w:noHBand="0" w:noVBand="1"/>
      </w:tblPr>
      <w:tblGrid>
        <w:gridCol w:w="3616"/>
        <w:gridCol w:w="3600"/>
        <w:gridCol w:w="357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Software Adicional: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Tecnologias Incluídas: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SLs de Dispositivo e de Utilizador</w:t>
      </w:r>
    </w:p>
    <w:p w:rsidR="00D87CDE" w:rsidRDefault="00AC602F">
      <w:pPr>
        <w:pStyle w:val="ProductList-Body"/>
      </w:pPr>
      <w:r>
        <w:t>O Cliente pode adquirir SLs de Dispositivo ou Utilizador para cumprir o requisito da Licença de Gestão de Cliente ao abrigo do Modelo de Licenciamento de Servidores de Gestão.</w:t>
      </w:r>
    </w:p>
    <w:p w:rsidR="00D87CDE" w:rsidRDefault="00D87CDE">
      <w:pPr>
        <w:pStyle w:val="ProductList-Body"/>
      </w:pPr>
    </w:p>
    <w:p w:rsidR="00D87CDE" w:rsidRDefault="00AC602F">
      <w:pPr>
        <w:pStyle w:val="ProductList-ClauseHeading"/>
        <w:outlineLvl w:val="4"/>
      </w:pPr>
      <w:r>
        <w:t>3.2 SLs de Gestão de Servidor</w:t>
      </w:r>
    </w:p>
    <w:p w:rsidR="00D87CDE" w:rsidRDefault="00AC602F">
      <w:pPr>
        <w:pStyle w:val="ProductList-Body"/>
      </w:pPr>
      <w:r>
        <w:t>Além dos requisitos de SL de Utilizador, as Licenças de Gestão de Servidor são necessárias para cada Servidor no número especificado nos termos de licenciamento do System Center 2012 R2 Datacenter e Standard. Para fins da presente declaração, os OSEs com sistemas operativos de servidor que acedam ao software System Center Endpoint Protection ou software relacionado são OSEs geridos. Para este parágrafo, “Servidores” designa um dispositivo onde o Cliente executa o software de sistema operativo de servidor.</w:t>
      </w:r>
    </w:p>
    <w:p w:rsidR="00D87CDE" w:rsidRDefault="00D87CDE">
      <w:pPr>
        <w:pStyle w:val="ProductList-Body"/>
      </w:pPr>
    </w:p>
    <w:p w:rsidR="00D87CDE" w:rsidRDefault="00AC602F">
      <w:pPr>
        <w:pStyle w:val="ProductList-ClauseHeading"/>
        <w:outlineLvl w:val="4"/>
      </w:pPr>
      <w:r>
        <w:t>3.3 Substituição de Mecanismos de Verificação</w:t>
      </w:r>
    </w:p>
    <w:p w:rsidR="00D87CDE" w:rsidRDefault="00AC602F">
      <w:pPr>
        <w:pStyle w:val="ProductList-Body"/>
      </w:pPr>
      <w:r>
        <w:t>A Microsoft poderá substituir software e ficheiros comparáveis para os seguintes componentes dos Serviços Online:</w:t>
      </w:r>
    </w:p>
    <w:p w:rsidR="00D87CDE" w:rsidRDefault="00AC602F" w:rsidP="00AC602F">
      <w:pPr>
        <w:pStyle w:val="ProductList-Bullet"/>
        <w:numPr>
          <w:ilvl w:val="0"/>
          <w:numId w:val="21"/>
        </w:numPr>
      </w:pPr>
      <w:r>
        <w:t>software antivírus e anti-spam; e</w:t>
      </w:r>
    </w:p>
    <w:p w:rsidR="00D87CDE" w:rsidRDefault="00AC602F" w:rsidP="00AC602F">
      <w:pPr>
        <w:pStyle w:val="ProductList-Bullet"/>
        <w:numPr>
          <w:ilvl w:val="0"/>
          <w:numId w:val="21"/>
        </w:numPr>
      </w:pPr>
      <w:r>
        <w:t>ficheiros de assinatura e ficheiros de dados de filtragem de conteúdos.</w:t>
      </w:r>
    </w:p>
    <w:p w:rsidR="00D87CDE" w:rsidRDefault="00AC602F">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10479"/>
      <w:r>
        <w:instrText>System Center Operation Manager</w:instrText>
      </w:r>
      <w:bookmarkEnd w:id="166"/>
      <w:r>
        <w:instrText>" \l 3</w:instrText>
      </w:r>
      <w:r>
        <w:fldChar w:fldCharType="end"/>
      </w:r>
    </w:p>
    <w:p w:rsidR="00D87CDE" w:rsidRDefault="00AC602F">
      <w:pPr>
        <w:pStyle w:val="ProductList-Body"/>
      </w:pPr>
      <w:r>
        <w:t>Os clientes académicos que procurem informações sobre como licenciar e utilizar o System Center Operation Manager 2007 R2</w:t>
      </w:r>
      <w:r>
        <w:fldChar w:fldCharType="begin"/>
      </w:r>
      <w:r>
        <w:instrText xml:space="preserve"> XE "System Center Operation Manager 2007 R2" </w:instrText>
      </w:r>
      <w:r>
        <w:fldChar w:fldCharType="end"/>
      </w:r>
      <w:r>
        <w:t xml:space="preserve"> deverão consultar os Direitos de Utilização de Produto de Abril de 2015 </w:t>
      </w:r>
      <w:hyperlink r:id="rId61">
        <w:r>
          <w:rPr>
            <w:color w:val="00467F"/>
            <w:u w:val="single"/>
          </w:rPr>
          <w:t>http://go.microsoft.com/?linkid=9839206</w:t>
        </w:r>
      </w:hyperlink>
      <w:r>
        <w:t xml:space="preserve"> e a Lista de Produto de Junho de 2015 </w:t>
      </w:r>
      <w:hyperlink r:id="rId62">
        <w:r>
          <w:rPr>
            <w:color w:val="00467F"/>
            <w:u w:val="single"/>
          </w:rPr>
          <w:t>http://go.microsoft.com/?linkid=9839207</w:t>
        </w:r>
      </w:hyperlink>
      <w:r>
        <w:t>.</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10480"/>
      <w:r>
        <w:instrText>System Center Server Management Suite</w:instrText>
      </w:r>
      <w:bookmarkEnd w:id="168"/>
      <w:r>
        <w:instrText>" \l 3</w:instrText>
      </w:r>
      <w:r>
        <w:fldChar w:fldCharType="end"/>
      </w:r>
    </w:p>
    <w:p w:rsidR="00D87CDE" w:rsidRDefault="00AC602F">
      <w:pPr>
        <w:pStyle w:val="ProductList-Body"/>
      </w:pPr>
      <w:r>
        <w:t>Os clientes académicos que procurem informações sobre como licenciar e utilizar o System Center Server Management Suite</w:t>
      </w:r>
      <w:r>
        <w:fldChar w:fldCharType="begin"/>
      </w:r>
      <w:r>
        <w:instrText xml:space="preserve"> XE "System Center Server Management Suite" </w:instrText>
      </w:r>
      <w:r>
        <w:fldChar w:fldCharType="end"/>
      </w:r>
      <w:r>
        <w:t xml:space="preserve"> deverão consultar os Direitos de Utilização de Produto de Abril de 2015 </w:t>
      </w:r>
      <w:hyperlink r:id="rId63">
        <w:r>
          <w:rPr>
            <w:color w:val="00467F"/>
            <w:u w:val="single"/>
          </w:rPr>
          <w:t>http://go.microsoft.com/?linkid=9839206</w:t>
        </w:r>
      </w:hyperlink>
      <w:r>
        <w:t xml:space="preserve"> e a Lista de Produto de Junho de 2015 </w:t>
      </w:r>
      <w:hyperlink r:id="rId64">
        <w:r>
          <w:rPr>
            <w:color w:val="00467F"/>
            <w:u w:val="single"/>
          </w:rPr>
          <w:t>http://go.microsoft.com/?linkid=9839207</w:t>
        </w:r>
      </w:hyperlink>
      <w:r>
        <w:t>.</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10481"/>
      <w:r>
        <w:instrText>System Center Service Manager</w:instrText>
      </w:r>
      <w:bookmarkEnd w:id="170"/>
      <w:r>
        <w:instrText>" \l 3</w:instrText>
      </w:r>
      <w:r>
        <w:fldChar w:fldCharType="end"/>
      </w:r>
    </w:p>
    <w:p w:rsidR="00D87CDE" w:rsidRDefault="00AC602F">
      <w:pPr>
        <w:pStyle w:val="ProductList-Body"/>
      </w:pPr>
      <w:r>
        <w:t>Os clientes académicos que procurem informações sobre como licenciar e utilizar o System Center Service Manager 2010</w:t>
      </w:r>
      <w:r>
        <w:fldChar w:fldCharType="begin"/>
      </w:r>
      <w:r>
        <w:instrText xml:space="preserve"> XE "System Center Service Manager 2010" </w:instrText>
      </w:r>
      <w:r>
        <w:fldChar w:fldCharType="end"/>
      </w:r>
      <w:r>
        <w:t xml:space="preserve"> deverão consultar os Direitos de Utilização de Produto de Abril de 2015 </w:t>
      </w:r>
      <w:hyperlink r:id="rId65">
        <w:r>
          <w:rPr>
            <w:color w:val="00467F"/>
            <w:u w:val="single"/>
          </w:rPr>
          <w:t>http://go.microsoft.com/?linkid=9839206</w:t>
        </w:r>
      </w:hyperlink>
      <w:r>
        <w:t xml:space="preserve"> e a Lista de Produto de Junho de 2015 </w:t>
      </w:r>
      <w:hyperlink r:id="rId66">
        <w:r>
          <w:rPr>
            <w:color w:val="00467F"/>
            <w:u w:val="single"/>
          </w:rPr>
          <w:t>http://go.microsoft.com/?linkid=9839207</w:t>
        </w:r>
      </w:hyperlink>
      <w:r>
        <w:t>.</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10482"/>
      <w:r>
        <w:instrText>Virtual Desktop Infrastructure (VDI) Suite</w:instrText>
      </w:r>
      <w:bookmarkEnd w:id="172"/>
      <w:r>
        <w:instrText>" \l 2</w:instrText>
      </w:r>
      <w:r>
        <w:fldChar w:fldCharType="end"/>
      </w:r>
    </w:p>
    <w:p w:rsidR="00D87CDE" w:rsidRDefault="00AC602F">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67">
        <w:r>
          <w:rPr>
            <w:color w:val="00467F"/>
            <w:u w:val="single"/>
          </w:rPr>
          <w:t>http://go.microsoft.com/?linkid=9839206</w:t>
        </w:r>
      </w:hyperlink>
      <w:r>
        <w:t xml:space="preserve"> e a Lista de Produto de Junho de 2015 </w:t>
      </w:r>
      <w:hyperlink r:id="rId68">
        <w:r>
          <w:rPr>
            <w:color w:val="00467F"/>
            <w:u w:val="single"/>
          </w:rPr>
          <w:t>http://go.microsoft.com/?linkid=9839207</w:t>
        </w:r>
      </w:hyperlink>
      <w:r>
        <w:t>.</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GroupHeading"/>
        <w:outlineLvl w:val="1"/>
      </w:pPr>
      <w:bookmarkStart w:id="173" w:name="_Sec617"/>
      <w:r>
        <w:t>Visual Studio</w:t>
      </w:r>
      <w:bookmarkEnd w:id="173"/>
      <w:r>
        <w:fldChar w:fldCharType="begin"/>
      </w:r>
      <w:r>
        <w:instrText xml:space="preserve"> TC "</w:instrText>
      </w:r>
      <w:bookmarkStart w:id="174" w:name="_Toc452110483"/>
      <w:r>
        <w:instrText>Visual Studio</w:instrText>
      </w:r>
      <w:bookmarkEnd w:id="174"/>
      <w:r>
        <w:instrText>" \l 2</w:instrText>
      </w:r>
      <w:r>
        <w:fldChar w:fldCharType="end"/>
      </w:r>
    </w:p>
    <w:p w:rsidR="00D87CDE" w:rsidRDefault="00AC602F">
      <w:pPr>
        <w:pStyle w:val="ProductList-Offering2HeadingNoBorder"/>
        <w:outlineLvl w:val="2"/>
      </w:pPr>
      <w:bookmarkStart w:id="175" w:name="_Sec649"/>
      <w:r>
        <w:t>Visual Studio</w:t>
      </w:r>
      <w:bookmarkEnd w:id="175"/>
      <w:r>
        <w:fldChar w:fldCharType="begin"/>
      </w:r>
      <w:r>
        <w:instrText xml:space="preserve"> TC "</w:instrText>
      </w:r>
      <w:bookmarkStart w:id="176" w:name="_Toc452110484"/>
      <w:r>
        <w:instrText>Visual Studio</w:instrText>
      </w:r>
      <w:bookmarkEnd w:id="176"/>
      <w:r>
        <w:instrText>" \l 3</w:instrText>
      </w:r>
      <w:r>
        <w:fldChar w:fldCharType="end"/>
      </w:r>
    </w:p>
    <w:p w:rsidR="00D87CDE" w:rsidRDefault="00AC602F">
      <w:pPr>
        <w:pStyle w:val="ProductList-Offering1SubSection"/>
        <w:outlineLvl w:val="3"/>
      </w:pPr>
      <w:bookmarkStart w:id="177" w:name="_Sec697"/>
      <w:r>
        <w:t>1. Disponibilidade do Programa</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3"/>
      </w:pPr>
      <w:bookmarkStart w:id="178" w:name="_Sec752"/>
      <w:r>
        <w:t>2. Condições do Produto</w:t>
      </w:r>
      <w:bookmarkEnd w:id="178"/>
    </w:p>
    <w:tbl>
      <w:tblPr>
        <w:tblStyle w:val="PURTable"/>
        <w:tblW w:w="0" w:type="dxa"/>
        <w:tblLook w:val="04A0" w:firstRow="1" w:lastRow="0" w:firstColumn="1" w:lastColumn="0" w:noHBand="0" w:noVBand="1"/>
      </w:tblPr>
      <w:tblGrid>
        <w:gridCol w:w="3601"/>
        <w:gridCol w:w="3594"/>
        <w:gridCol w:w="3595"/>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Visual Studio Premium 2013 com MSDN e Visual Studio Ultimate 2013 com MSDN</w:t>
      </w:r>
    </w:p>
    <w:p w:rsidR="00D87CDE" w:rsidRDefault="00AC602F">
      <w:pPr>
        <w:pStyle w:val="ProductList-Body"/>
      </w:pPr>
      <w:r>
        <w:t>O Visual Studio Enterprise 2015 com MSDN é a versão sucessora do Visual Studio Premium 2013 com MSDN e do Visual Studio Ultimate 2013 com MSDN.</w:t>
      </w:r>
    </w:p>
    <w:p w:rsidR="00D87CDE" w:rsidRDefault="00D87CDE">
      <w:pPr>
        <w:pStyle w:val="ProductList-Body"/>
      </w:pPr>
    </w:p>
    <w:p w:rsidR="00D87CDE" w:rsidRDefault="00AC602F">
      <w:pPr>
        <w:pStyle w:val="ProductList-ClauseHeading"/>
        <w:outlineLvl w:val="4"/>
      </w:pPr>
      <w:r>
        <w:t>2.2 Concessão de Licenças para o SQL Server Parallel Data Warehouse Developer</w:t>
      </w:r>
    </w:p>
    <w:p w:rsidR="00D87CDE" w:rsidRDefault="00AC602F">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rsidR="00D87CDE" w:rsidRDefault="00D87CDE">
      <w:pPr>
        <w:pStyle w:val="ProductList-Body"/>
      </w:pPr>
    </w:p>
    <w:p w:rsidR="00D87CDE" w:rsidRDefault="00AC602F">
      <w:pPr>
        <w:pStyle w:val="ProductList-ClauseHeading"/>
        <w:outlineLvl w:val="4"/>
      </w:pPr>
      <w:r>
        <w:t>2.3 Concessão de Licenças para o Visual Studio Team Foundation Server 2015</w:t>
      </w:r>
    </w:p>
    <w:p w:rsidR="00D87CDE" w:rsidRDefault="00AC602F">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2015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D87CDE" w:rsidRDefault="00D87CDE">
      <w:pPr>
        <w:pStyle w:val="ProductList-Body"/>
      </w:pPr>
    </w:p>
    <w:p w:rsidR="00D87CDE" w:rsidRDefault="00AC602F">
      <w:pPr>
        <w:pStyle w:val="ProductList-ClauseHeading"/>
        <w:outlineLvl w:val="4"/>
      </w:pPr>
      <w:r>
        <w:t>2.4 Serviços da Plataforma Microsoft Azure</w:t>
      </w:r>
    </w:p>
    <w:p w:rsidR="00D87CDE" w:rsidRDefault="00AC602F">
      <w:pPr>
        <w:pStyle w:val="ProductList-Body"/>
      </w:pPr>
      <w:r>
        <w:t>Os benefícios do Microsoft Azure não podem ser combinados com múltiplas subscrições de MSDN numa única conta do Microsoft Azure.</w:t>
      </w:r>
    </w:p>
    <w:p w:rsidR="00D87CDE" w:rsidRDefault="00AC602F">
      <w:pPr>
        <w:pStyle w:val="ProductList-Offering1SubSection"/>
        <w:outlineLvl w:val="3"/>
      </w:pPr>
      <w:bookmarkStart w:id="179" w:name="_Sec810"/>
      <w:r>
        <w:t>3. Direitos de Utilização</w:t>
      </w:r>
      <w:bookmarkEnd w:id="179"/>
    </w:p>
    <w:tbl>
      <w:tblPr>
        <w:tblStyle w:val="PURTable"/>
        <w:tblW w:w="0" w:type="dxa"/>
        <w:tblLook w:val="04A0" w:firstRow="1" w:lastRow="0" w:firstColumn="1" w:lastColumn="0" w:noHBand="0" w:noVBand="1"/>
      </w:tblPr>
      <w:tblGrid>
        <w:gridCol w:w="3617"/>
        <w:gridCol w:w="3589"/>
        <w:gridCol w:w="358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Software Adicional: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Ficheiro BUILDSERVER.TXT</w:t>
      </w:r>
    </w:p>
    <w:p w:rsidR="00D87CDE" w:rsidRDefault="00AC602F">
      <w:pPr>
        <w:pStyle w:val="ProductList-Body"/>
      </w:pPr>
      <w:r>
        <w:t xml:space="preserve">O Cliente poderá instalar cópias dos ficheiros nas Listas BuildServer localizadas em </w:t>
      </w:r>
      <w:hyperlink r:id="rId69">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D87CDE" w:rsidRDefault="00D87CDE">
      <w:pPr>
        <w:pStyle w:val="ProductList-Body"/>
      </w:pPr>
    </w:p>
    <w:p w:rsidR="00D87CDE" w:rsidRDefault="00AC602F">
      <w:pPr>
        <w:pStyle w:val="ProductList-ClauseHeading"/>
        <w:outlineLvl w:val="4"/>
      </w:pPr>
      <w:r>
        <w:t>3.2 Utilitários</w:t>
      </w:r>
    </w:p>
    <w:p w:rsidR="00D87CDE" w:rsidRDefault="00AC602F">
      <w:pPr>
        <w:pStyle w:val="ProductList-Body"/>
      </w:pPr>
      <w:r>
        <w:t xml:space="preserve">O Cliente pode copiar e instalar os Utilitários listados em </w:t>
      </w:r>
      <w:hyperlink r:id="rId70">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D87CDE" w:rsidRDefault="00D87CDE">
      <w:pPr>
        <w:pStyle w:val="ProductList-Body"/>
      </w:pPr>
    </w:p>
    <w:p w:rsidR="00D87CDE" w:rsidRDefault="00AC602F">
      <w:pPr>
        <w:pStyle w:val="ProductList-ClauseHeading"/>
        <w:outlineLvl w:val="4"/>
      </w:pPr>
      <w:r>
        <w:t>3.3 System Center – Virtual Machine Manager (SCVMM) – Visual Studio Enterprise com MSDN e Visual Studio Test Professional com MSDN</w:t>
      </w:r>
    </w:p>
    <w:p w:rsidR="00D87CDE" w:rsidRDefault="00AC602F">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precisa de licenças de gestão para essa utilização.</w:t>
      </w:r>
    </w:p>
    <w:p w:rsidR="00D87CDE" w:rsidRDefault="00D87CDE">
      <w:pPr>
        <w:pStyle w:val="ProductList-Body"/>
      </w:pPr>
    </w:p>
    <w:p w:rsidR="00D87CDE" w:rsidRDefault="00AC602F">
      <w:pPr>
        <w:pStyle w:val="ProductList-ClauseHeading"/>
        <w:outlineLvl w:val="4"/>
      </w:pPr>
      <w:r>
        <w:t>3.4 Office Professional Plus 2016 – Visual Studio Enterprise com MSDN</w:t>
      </w:r>
    </w:p>
    <w:p w:rsidR="00D87CDE" w:rsidRDefault="00AC602F">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D87CDE" w:rsidRDefault="00D87CDE">
      <w:pPr>
        <w:pStyle w:val="ProductList-Body"/>
      </w:pPr>
    </w:p>
    <w:p w:rsidR="00D87CDE" w:rsidRDefault="00AC602F">
      <w:pPr>
        <w:pStyle w:val="ProductList-ClauseHeading"/>
        <w:outlineLvl w:val="4"/>
      </w:pPr>
      <w:r>
        <w:t>3.5 Bibliotecas licenciadas ao abrigo da GNU Lesser General Public License</w:t>
      </w:r>
    </w:p>
    <w:p w:rsidR="00D87CDE" w:rsidRDefault="00AC602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rsidR="00D87CDE" w:rsidRDefault="00AC602F">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1">
              <w:r>
                <w:rPr>
                  <w:color w:val="00467F"/>
                  <w:u w:val="single"/>
                </w:rPr>
                <w:t xml:space="preserve">Lista de Produto - Março de 2014 e Setembro de 2015 - Termo de Produto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4.1 Elegibilidade de Software Assurance</w:t>
      </w:r>
    </w:p>
    <w:p w:rsidR="00D87CDE" w:rsidRDefault="00AC602F">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D87CDE" w:rsidRDefault="00D87CDE">
      <w:pPr>
        <w:pStyle w:val="ProductList-Body"/>
      </w:pPr>
    </w:p>
    <w:p w:rsidR="00D87CDE" w:rsidRDefault="00AC602F">
      <w:pPr>
        <w:pStyle w:val="ProductList-ClauseHeading"/>
        <w:outlineLvl w:val="4"/>
      </w:pPr>
      <w:r>
        <w:t>4.2 Direitos Perpétuos de MSDN</w:t>
      </w:r>
    </w:p>
    <w:p w:rsidR="00D87CDE" w:rsidRDefault="00AC602F">
      <w:pPr>
        <w:pStyle w:val="ProductList-Body"/>
      </w:pPr>
      <w:r>
        <w:t>Os direitos do Cliente utilizar qualquer software licenciado através do MSDN tornam-se perpétuos quando o direito do Cliente utilizar o Visual Studio se tornar perpétuo.</w:t>
      </w:r>
    </w:p>
    <w:p w:rsidR="00D87CDE" w:rsidRDefault="00D87CDE">
      <w:pPr>
        <w:pStyle w:val="ProductList-Body"/>
      </w:pPr>
    </w:p>
    <w:p w:rsidR="00D87CDE" w:rsidRDefault="00AC602F">
      <w:pPr>
        <w:pStyle w:val="ProductList-ClauseHeading"/>
        <w:outlineLvl w:val="4"/>
      </w:pPr>
      <w:r>
        <w:t>4.3 Direitos e Benefícios do Software Assurance para Licenças de Subscrição</w:t>
      </w:r>
    </w:p>
    <w:p w:rsidR="00D87CDE" w:rsidRDefault="00AC602F">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D87CDE" w:rsidRDefault="00D87CDE">
      <w:pPr>
        <w:pStyle w:val="PURBreadcrumb"/>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10485"/>
      <w:r>
        <w:instrText>Visual Studio Team Foundation Server</w:instrText>
      </w:r>
      <w:bookmarkEnd w:id="182"/>
      <w:r>
        <w:instrText>" \l 3</w:instrText>
      </w:r>
      <w:r>
        <w:fldChar w:fldCharType="end"/>
      </w:r>
    </w:p>
    <w:p w:rsidR="00D87CDE" w:rsidRDefault="00AC602F">
      <w:pPr>
        <w:pStyle w:val="ProductList-Offering1SubSection"/>
        <w:outlineLvl w:val="3"/>
      </w:pPr>
      <w:bookmarkStart w:id="183" w:name="_Sec698"/>
      <w:r>
        <w:t>1. Disponibilidade do Programa</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87CDE" w:rsidRDefault="00D87C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87CDE" w:rsidRDefault="00D87C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3"/>
      </w:pPr>
      <w:bookmarkStart w:id="184" w:name="_Sec753"/>
      <w:r>
        <w:t>2. Condições do Produto</w:t>
      </w:r>
      <w:bookmarkEnd w:id="184"/>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3"/>
      </w:pPr>
      <w:bookmarkStart w:id="185" w:name="_Sec811"/>
      <w:r>
        <w:t>3. Direitos de Utilização</w:t>
      </w:r>
      <w:bookmarkEnd w:id="185"/>
    </w:p>
    <w:tbl>
      <w:tblPr>
        <w:tblStyle w:val="PURTable"/>
        <w:tblW w:w="0" w:type="dxa"/>
        <w:tblLook w:val="04A0" w:firstRow="1" w:lastRow="0" w:firstColumn="1" w:lastColumn="0" w:noHBand="0" w:noVBand="1"/>
      </w:tblPr>
      <w:tblGrid>
        <w:gridCol w:w="3603"/>
        <w:gridCol w:w="3596"/>
        <w:gridCol w:w="3591"/>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D87CDE" w:rsidRDefault="00AC602F">
            <w:pPr>
              <w:pStyle w:val="ProductList-TableBody"/>
            </w:pPr>
            <w:r>
              <w:t>Visual Studio Team Services pago para utilizador</w:t>
            </w:r>
          </w:p>
        </w:tc>
      </w:tr>
    </w:tbl>
    <w:p w:rsidR="00D87CDE" w:rsidRDefault="00D87CDE">
      <w:pPr>
        <w:pStyle w:val="ProductList-Body"/>
      </w:pPr>
    </w:p>
    <w:p w:rsidR="00D87CDE" w:rsidRDefault="00AC602F">
      <w:pPr>
        <w:pStyle w:val="ProductList-SubClauseHeading"/>
        <w:outlineLvl w:val="5"/>
      </w:pPr>
      <w:r>
        <w:t>3.1.1 Funcionalidade Adicional</w:t>
      </w:r>
    </w:p>
    <w:p w:rsidR="00D87CDE" w:rsidRDefault="00AC602F">
      <w:pPr>
        <w:pStyle w:val="ProductList-BodyIndented"/>
      </w:pPr>
      <w:r>
        <w:t>Gestão de Versões</w:t>
      </w:r>
    </w:p>
    <w:tbl>
      <w:tblPr>
        <w:tblStyle w:val="PURTable0"/>
        <w:tblW w:w="0" w:type="dxa"/>
        <w:tblLook w:val="04A0" w:firstRow="1" w:lastRow="0" w:firstColumn="1" w:lastColumn="0" w:noHBand="0" w:noVBand="1"/>
      </w:tblPr>
      <w:tblGrid>
        <w:gridCol w:w="3461"/>
        <w:gridCol w:w="3495"/>
        <w:gridCol w:w="347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87CDE" w:rsidRDefault="00AC602F">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D87CDE" w:rsidRDefault="00AC602F">
            <w:pPr>
              <w:pStyle w:val="ProductList-TableBody"/>
            </w:pPr>
            <w:r>
              <w:t>Visual Studio Enterprise 2015 com MSDN</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CDE" w:rsidRDefault="00AC602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Indented"/>
      </w:pPr>
    </w:p>
    <w:p w:rsidR="00D87CDE" w:rsidRDefault="00AC602F">
      <w:pPr>
        <w:pStyle w:val="ProductList-SubClauseHeading"/>
        <w:outlineLvl w:val="5"/>
      </w:pPr>
      <w:r>
        <w:t>3.1.2 Funcionalidade Adicional</w:t>
      </w:r>
    </w:p>
    <w:p w:rsidR="00D87CDE" w:rsidRDefault="00AC602F">
      <w:pPr>
        <w:pStyle w:val="ProductList-BodyIndented"/>
      </w:pPr>
      <w:r>
        <w:t>Gestão de Testes</w:t>
      </w:r>
    </w:p>
    <w:tbl>
      <w:tblPr>
        <w:tblStyle w:val="PURTable0"/>
        <w:tblW w:w="0" w:type="dxa"/>
        <w:tblLook w:val="04A0" w:firstRow="1" w:lastRow="0" w:firstColumn="1" w:lastColumn="0" w:noHBand="0" w:noVBand="1"/>
      </w:tblPr>
      <w:tblGrid>
        <w:gridCol w:w="3461"/>
        <w:gridCol w:w="3495"/>
        <w:gridCol w:w="347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87CDE" w:rsidRDefault="00AC602F">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D87CDE" w:rsidRDefault="00AC602F">
            <w:pPr>
              <w:pStyle w:val="ProductList-TableBody"/>
            </w:pPr>
            <w:r>
              <w:t>Visual Studio Enterprise 2015 com MSDN</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CDE" w:rsidRDefault="00AC602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D87CDE" w:rsidRDefault="00AC602F">
            <w:pPr>
              <w:pStyle w:val="ProductList-TableBody"/>
            </w:pPr>
            <w:r>
              <w:t>Visual Studio Team Services Test Manager Extension</w:t>
            </w:r>
          </w:p>
        </w:tc>
      </w:tr>
    </w:tbl>
    <w:p w:rsidR="00D87CDE" w:rsidRDefault="00D87CDE">
      <w:pPr>
        <w:pStyle w:val="ProductList-BodyIndented"/>
      </w:pPr>
    </w:p>
    <w:p w:rsidR="00D87CDE" w:rsidRDefault="00AC602F">
      <w:pPr>
        <w:pStyle w:val="ProductList-ClauseHeading"/>
        <w:outlineLvl w:val="4"/>
      </w:pPr>
      <w:r>
        <w:t>3.2 Utilização que não requer CALs</w:t>
      </w:r>
    </w:p>
    <w:p w:rsidR="00D87CDE" w:rsidRDefault="00AC602F">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Online através de um Proxy do Team Foundation Server 2015; fornecer aprovações para as fases como parte do pipeline da Gestão de Versões e aceder ao Visual Studio Team Foundation Server através de uma ligação agrupada a partir de outra aplicação ou serviço integrado.</w:t>
      </w:r>
    </w:p>
    <w:p w:rsidR="00D87CDE" w:rsidRDefault="00D87CDE">
      <w:pPr>
        <w:pStyle w:val="ProductList-Body"/>
      </w:pPr>
    </w:p>
    <w:p w:rsidR="00D87CDE" w:rsidRDefault="00AC602F">
      <w:pPr>
        <w:pStyle w:val="ProductList-ClauseHeading"/>
        <w:outlineLvl w:val="4"/>
      </w:pPr>
      <w:r>
        <w:t>3.3 Tecnologia SQL Server</w:t>
      </w:r>
    </w:p>
    <w:p w:rsidR="00D87CDE" w:rsidRDefault="00AC602F">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D87CDE" w:rsidRDefault="00D87CDE">
      <w:pPr>
        <w:pStyle w:val="ProductList-Body"/>
      </w:pPr>
    </w:p>
    <w:p w:rsidR="00D87CDE" w:rsidRDefault="00AC602F">
      <w:pPr>
        <w:pStyle w:val="ProductList-ClauseHeading"/>
        <w:outlineLvl w:val="4"/>
      </w:pPr>
      <w:r>
        <w:t>3.4 Bibliotecas licenciadas ao abrigo da GNU Lesser General Public License</w:t>
      </w:r>
    </w:p>
    <w:p w:rsidR="00D87CDE" w:rsidRDefault="00AC602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rsidR="00D87CDE" w:rsidRDefault="00D87CDE">
      <w:pPr>
        <w:pStyle w:val="ProductList-Body"/>
      </w:pPr>
    </w:p>
    <w:p w:rsidR="00D87CDE" w:rsidRDefault="00AC602F">
      <w:pPr>
        <w:pStyle w:val="ProductList-ClauseHeading"/>
        <w:outlineLvl w:val="4"/>
      </w:pPr>
      <w:r>
        <w:t>3.5 Visual Studio Team Foundation Server Build Services</w:t>
      </w:r>
    </w:p>
    <w:p w:rsidR="00D87CDE" w:rsidRDefault="00AC602F">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ou do Visual Studio Professional com MSDN, o Cliente também pode instalar o software Visual Studio e permitir o acesso e a utilização do mesmo como parte do Team Foundation Server 2015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Cliente, bem como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Team Foundation Server 2015.</w:t>
      </w:r>
    </w:p>
    <w:p w:rsidR="00D87CDE" w:rsidRDefault="00D87CDE">
      <w:pPr>
        <w:pStyle w:val="ProductList-Body"/>
      </w:pPr>
    </w:p>
    <w:p w:rsidR="00D87CDE" w:rsidRDefault="00AC602F">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Visual Studio Team Foundation Server SharePoint Extensions</w:t>
            </w:r>
          </w:p>
        </w:tc>
      </w:tr>
    </w:tbl>
    <w:p w:rsidR="00D87CDE" w:rsidRDefault="00AC602F">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599"/>
        <w:gridCol w:w="3633"/>
        <w:gridCol w:w="3468"/>
        <w:gridCol w:w="90"/>
      </w:tblGrid>
      <w:tr w:rsidR="00D87CD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r w:rsidR="00D87CDE">
        <w:tc>
          <w:tcPr>
            <w:tcW w:w="12240" w:type="dxa"/>
            <w:gridSpan w:val="4"/>
            <w:tcBorders>
              <w:top w:val="none" w:sz="4" w:space="0" w:color="6E6E6E"/>
              <w:left w:val="none" w:sz="4" w:space="0" w:color="6E6E6E"/>
              <w:bottom w:val="none" w:sz="4" w:space="0" w:color="6E6E6E"/>
              <w:right w:val="none" w:sz="4" w:space="0" w:color="6E6E6E"/>
            </w:tcBorders>
          </w:tcPr>
          <w:p w:rsidR="00D87CDE" w:rsidRDefault="00D87CDE">
            <w:pPr>
              <w:pStyle w:val="PURBreadcrumb"/>
            </w:pPr>
          </w:p>
          <w:tbl>
            <w:tblPr>
              <w:tblW w:w="0" w:type="dxa"/>
              <w:tblLook w:val="04A0" w:firstRow="1" w:lastRow="0" w:firstColumn="1" w:lastColumn="0" w:noHBand="0" w:noVBand="1"/>
            </w:tblPr>
            <w:tblGrid>
              <w:gridCol w:w="10674"/>
            </w:tblGrid>
            <w:tr w:rsidR="00D87CDE">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TableBody"/>
            </w:pPr>
          </w:p>
        </w:tc>
      </w:tr>
    </w:tbl>
    <w:p w:rsidR="00D87CDE" w:rsidRDefault="00D87CDE">
      <w:pPr>
        <w:pStyle w:val="ProductList-Body"/>
      </w:pPr>
    </w:p>
    <w:p w:rsidR="00D87CDE" w:rsidRDefault="00AC602F">
      <w:pPr>
        <w:pStyle w:val="ProductList-OfferingGroupHeading"/>
        <w:outlineLvl w:val="1"/>
      </w:pPr>
      <w:bookmarkStart w:id="187" w:name="_Sec618"/>
      <w:r>
        <w:t>Windows</w:t>
      </w:r>
      <w:bookmarkEnd w:id="187"/>
      <w:r>
        <w:fldChar w:fldCharType="begin"/>
      </w:r>
      <w:r>
        <w:instrText xml:space="preserve"> TC "</w:instrText>
      </w:r>
      <w:bookmarkStart w:id="188" w:name="_Toc452110486"/>
      <w:r>
        <w:instrText>Windows</w:instrText>
      </w:r>
      <w:bookmarkEnd w:id="188"/>
      <w:r>
        <w:instrText>" \l 2</w:instrText>
      </w:r>
      <w:r>
        <w:fldChar w:fldCharType="end"/>
      </w:r>
    </w:p>
    <w:p w:rsidR="00D87CDE" w:rsidRDefault="00AC602F">
      <w:pPr>
        <w:pStyle w:val="ProductList-Offering2HeadingNoBorder"/>
        <w:outlineLvl w:val="2"/>
      </w:pPr>
      <w:bookmarkStart w:id="189" w:name="_Sec652"/>
      <w:r>
        <w:t>Sistema Operativo de Estação de Trabalho Windows</w:t>
      </w:r>
      <w:bookmarkEnd w:id="189"/>
      <w:r>
        <w:fldChar w:fldCharType="begin"/>
      </w:r>
      <w:r>
        <w:instrText xml:space="preserve"> TC "</w:instrText>
      </w:r>
      <w:bookmarkStart w:id="190" w:name="_Toc452110487"/>
      <w:r>
        <w:instrText>Sistema Operativo de Estação de Trabalho Windows</w:instrText>
      </w:r>
      <w:bookmarkEnd w:id="190"/>
      <w:r>
        <w:instrText>" \l 3</w:instrText>
      </w:r>
      <w:r>
        <w:fldChar w:fldCharType="end"/>
      </w:r>
    </w:p>
    <w:p w:rsidR="00D87CDE" w:rsidRDefault="00AC602F">
      <w:pPr>
        <w:pStyle w:val="ProductList-Offering1SubSection"/>
        <w:outlineLvl w:val="3"/>
      </w:pPr>
      <w:bookmarkStart w:id="191" w:name="_Sec700"/>
      <w:r>
        <w:t>1. Disponibilidade do Programa</w:t>
      </w:r>
      <w:bookmarkEnd w:id="191"/>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9" w:space="0" w:color="FFFFFF"/>
              <w:left w:val="single" w:sz="9" w:space="0" w:color="FFFFFF"/>
              <w:bottom w:val="dashed" w:sz="4" w:space="0" w:color="BFBFBF"/>
              <w:right w:val="single" w:sz="9" w:space="0" w:color="FFFFFF"/>
            </w:tcBorders>
          </w:tcPr>
          <w:p w:rsidR="00D87CDE" w:rsidRDefault="00AC602F">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87CDE" w:rsidRDefault="00D87CD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rPr>
                <w:color w:val="000000"/>
              </w:rPr>
              <w:t>Windows 10 Enterprise Software Assurance Por Utilizador (SL)</w:t>
            </w:r>
            <w:r>
              <w:fldChar w:fldCharType="begin"/>
            </w:r>
            <w:r>
              <w:instrText xml:space="preserve"> XE "Windows 10 Enterprise Software Assurance Por Utilizador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CDE" w:rsidRDefault="00D87C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t>Windows 10 Enterprise Software Assurance Por Utilizador de SA Existente</w:t>
            </w:r>
            <w:r>
              <w:fldChar w:fldCharType="begin"/>
            </w:r>
            <w:r>
              <w:instrText xml:space="preserve"> XE "Windows 10 Enterprise Software Assurance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CDE" w:rsidRDefault="00D87C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t>Windows 10 Enterprise LTSB Upgrade</w:t>
            </w:r>
            <w:r>
              <w:fldChar w:fldCharType="begin"/>
            </w:r>
            <w:r>
              <w:instrText xml:space="preserve"> XE "Windows 10 Enterprise LTSB Upgrade"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87CDE" w:rsidRDefault="00D87C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7CDE" w:rsidRDefault="00D87C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rPr>
                <w:color w:val="000000"/>
              </w:rPr>
              <w:t>Suplemento Por Utilizador do SA do Windows (SL)</w:t>
            </w:r>
            <w:r>
              <w:fldChar w:fldCharType="begin"/>
            </w:r>
            <w:r>
              <w:instrText xml:space="preserve"> XE "Suplemento Por Utilizador do SA do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CDE" w:rsidRDefault="00D87C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87CDE" w:rsidRDefault="00D87C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Estação de Trabalho Enterprise" </w:instrText>
            </w:r>
            <w:r>
              <w:fldChar w:fldCharType="separate"/>
            </w:r>
            <w:r>
              <w:rPr>
                <w:color w:val="000000"/>
              </w:rPr>
              <w:t>EP</w:t>
            </w:r>
            <w:r>
              <w:fldChar w:fldCharType="end"/>
            </w:r>
            <w:r>
              <w:t>,</w:t>
            </w: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CDE" w:rsidRDefault="00D87C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single" w:sz="9" w:space="0" w:color="FFFFFF"/>
              <w:bottom w:val="none" w:sz="4" w:space="0" w:color="BFBFBF"/>
              <w:right w:val="single" w:sz="9" w:space="0" w:color="FFFFFF"/>
            </w:tcBorders>
          </w:tcPr>
          <w:p w:rsidR="00D87CDE" w:rsidRDefault="00AC602F">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87CDE" w:rsidRDefault="00AC602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87CDE" w:rsidRDefault="00AC602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87CDE" w:rsidRDefault="00D87CD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192" w:name="_Sec755"/>
      <w:r>
        <w:t>2. Condições do Produto</w:t>
      </w:r>
      <w:bookmarkEnd w:id="192"/>
    </w:p>
    <w:tbl>
      <w:tblPr>
        <w:tblStyle w:val="PURTable"/>
        <w:tblW w:w="0" w:type="dxa"/>
        <w:tblLook w:val="04A0" w:firstRow="1" w:lastRow="0" w:firstColumn="1" w:lastColumn="0" w:noHBand="0" w:noVBand="1"/>
      </w:tblPr>
      <w:tblGrid>
        <w:gridCol w:w="3601"/>
        <w:gridCol w:w="3594"/>
        <w:gridCol w:w="3595"/>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 Por Utilizador do SA do Windows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Sistemas Operativos Qualificáveis (OS)</w:t>
      </w:r>
    </w:p>
    <w:p w:rsidR="00D87CDE" w:rsidRDefault="00AC602F">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D87CDE" w:rsidRDefault="00D87CDE">
      <w:pPr>
        <w:pStyle w:val="ProductList-Body"/>
      </w:pPr>
    </w:p>
    <w:p w:rsidR="00D87CDE" w:rsidRDefault="00AC602F">
      <w:pPr>
        <w:pStyle w:val="ProductList-SubClauseHeading"/>
        <w:outlineLvl w:val="5"/>
      </w:pPr>
      <w:r>
        <w:t>2.1.1 Gráfico de Sistemas Operativos (SO) Qualificáveis</w:t>
      </w:r>
    </w:p>
    <w:p w:rsidR="00D87CDE" w:rsidRDefault="00AC602F">
      <w:pPr>
        <w:pStyle w:val="ProductList-BodyIndented"/>
      </w:pPr>
      <w:r>
        <w:t>O SO qualificável por programa é:</w:t>
      </w:r>
    </w:p>
    <w:tbl>
      <w:tblPr>
        <w:tblStyle w:val="PURTable0"/>
        <w:tblW w:w="0" w:type="dxa"/>
        <w:tblLook w:val="04A0" w:firstRow="1" w:lastRow="0" w:firstColumn="1" w:lastColumn="0" w:noHBand="0" w:noVBand="1"/>
      </w:tblPr>
      <w:tblGrid>
        <w:gridCol w:w="3883"/>
        <w:gridCol w:w="1631"/>
        <w:gridCol w:w="1631"/>
        <w:gridCol w:w="1673"/>
        <w:gridCol w:w="1612"/>
      </w:tblGrid>
      <w:tr w:rsidR="00D87CD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Enterprise Agreement (EA)/Open Value Company Wide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Academic e Charity</w:t>
            </w:r>
          </w:p>
        </w:tc>
      </w:tr>
      <w:tr w:rsidR="00D87CDE">
        <w:tc>
          <w:tcPr>
            <w:tcW w:w="4660" w:type="dxa"/>
            <w:tcBorders>
              <w:top w:val="single" w:sz="4" w:space="0" w:color="000000"/>
              <w:left w:val="single" w:sz="4" w:space="0" w:color="000000"/>
              <w:bottom w:val="single" w:sz="4" w:space="0" w:color="000000"/>
              <w:right w:val="none" w:sz="4" w:space="0" w:color="000000"/>
            </w:tcBorders>
          </w:tcPr>
          <w:p w:rsidR="00D87CDE" w:rsidRDefault="00AC602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87CDE" w:rsidRDefault="00D87CDE">
            <w:pPr>
              <w:pStyle w:val="ProductList-TableBody"/>
              <w:jc w:val="center"/>
            </w:pP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none" w:sz="4" w:space="0" w:color="000000"/>
            </w:tcBorders>
          </w:tcPr>
          <w:p w:rsidR="00D87CDE" w:rsidRDefault="00AC602F">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87CDE" w:rsidRDefault="00D87CDE">
            <w:pPr>
              <w:pStyle w:val="ProductList-TableBody"/>
              <w:jc w:val="center"/>
            </w:pP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  Enterprise (N, K, KN), Pro (N, K, KN, sem disco)</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  Windows 8 e Windows 8.1 (incluindo Single Language)</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none" w:sz="4" w:space="0" w:color="000000"/>
            </w:tcBorders>
          </w:tcPr>
          <w:p w:rsidR="00D87CDE" w:rsidRDefault="00AC602F">
            <w:pPr>
              <w:pStyle w:val="ProductList-TableBody"/>
            </w:pPr>
            <w:r>
              <w:rPr>
                <w:b/>
              </w:rPr>
              <w:t>Windows 7</w:t>
            </w:r>
            <w:r>
              <w:fldChar w:fldCharType="begin"/>
            </w:r>
            <w:r>
              <w:instrText xml:space="preserve"> XE "Windows 7"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87CDE" w:rsidRDefault="00D87CDE">
            <w:pPr>
              <w:pStyle w:val="ProductList-TableBody"/>
              <w:jc w:val="center"/>
            </w:pP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  Enterprise (N, K, KN), Professional (N, K, KN, sem disco, Ultimate</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none" w:sz="4" w:space="0" w:color="000000"/>
            </w:tcBorders>
          </w:tcPr>
          <w:p w:rsidR="00D87CDE" w:rsidRDefault="00AC602F">
            <w:pPr>
              <w:pStyle w:val="ProductList-TableBody"/>
            </w:pPr>
            <w:r>
              <w:rPr>
                <w:b/>
              </w:rPr>
              <w:t>Windows Vista</w:t>
            </w:r>
            <w:r>
              <w:fldChar w:fldCharType="begin"/>
            </w:r>
            <w:r>
              <w:instrText xml:space="preserve"> XE "Windows Vista"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87CDE" w:rsidRDefault="00D87CDE">
            <w:pPr>
              <w:pStyle w:val="ProductList-TableBody"/>
              <w:jc w:val="center"/>
            </w:pP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  Enterprise (N, K, KN), Business (N, K, KN, Lâmina), Ultimate</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none" w:sz="4" w:space="0" w:color="000000"/>
            </w:tcBorders>
          </w:tcPr>
          <w:p w:rsidR="00D87CDE" w:rsidRDefault="00AC602F">
            <w:pPr>
              <w:pStyle w:val="ProductList-TableBody"/>
            </w:pPr>
            <w:r>
              <w:rPr>
                <w:b/>
              </w:rPr>
              <w:t>Windows XP</w:t>
            </w:r>
            <w:r>
              <w:fldChar w:fldCharType="begin"/>
            </w:r>
            <w:r>
              <w:instrText xml:space="preserve"> XE "Windows XP"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87CDE" w:rsidRDefault="00D87CDE">
            <w:pPr>
              <w:pStyle w:val="ProductList-TableBody"/>
              <w:jc w:val="center"/>
            </w:pP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  Professional (N, K, KN, Lâmina), Tablet Edition (N, K, KN, Lâmina),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none" w:sz="4" w:space="0" w:color="000000"/>
            </w:tcBorders>
          </w:tcPr>
          <w:p w:rsidR="00D87CDE" w:rsidRDefault="00AC602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87CDE" w:rsidRDefault="00D87CDE">
            <w:pPr>
              <w:pStyle w:val="ProductList-TableBody"/>
              <w:jc w:val="center"/>
            </w:pP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none" w:sz="4" w:space="0" w:color="000000"/>
            </w:tcBorders>
          </w:tcPr>
          <w:p w:rsidR="00D87CDE" w:rsidRDefault="00AC602F">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87CDE" w:rsidRDefault="00D87C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87CDE" w:rsidRDefault="00D87CDE">
            <w:pPr>
              <w:pStyle w:val="ProductList-TableBody"/>
              <w:jc w:val="center"/>
            </w:pP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bl>
    <w:p w:rsidR="00D87CDE" w:rsidRDefault="00AC602F">
      <w:pPr>
        <w:pStyle w:val="ProductList-BodyIndented"/>
      </w:pPr>
      <w:r>
        <w:rPr>
          <w:i/>
          <w:vertAlign w:val="superscript"/>
        </w:rPr>
        <w:t>1</w:t>
      </w:r>
      <w:r>
        <w:rPr>
          <w:i/>
        </w:rPr>
        <w:t xml:space="preserve">Inclui os sistemas operativos de 32 e 64 bits. </w:t>
      </w:r>
    </w:p>
    <w:p w:rsidR="00D87CDE" w:rsidRDefault="00AC602F">
      <w:pPr>
        <w:pStyle w:val="ProductList-BodyIndented"/>
      </w:pPr>
      <w:r>
        <w:rPr>
          <w:i/>
          <w:vertAlign w:val="superscript"/>
        </w:rPr>
        <w:t>2</w:t>
      </w:r>
      <w:r>
        <w:rPr>
          <w:i/>
        </w:rPr>
        <w:t xml:space="preserve">Também aplicável a Dispositivos Qualificados adquiridos através de fusão ou aquisição </w:t>
      </w:r>
    </w:p>
    <w:p w:rsidR="00D87CDE" w:rsidRDefault="00AC602F">
      <w:pPr>
        <w:pStyle w:val="ProductList-BodyIndented"/>
      </w:pPr>
      <w:r>
        <w:rPr>
          <w:i/>
          <w:vertAlign w:val="superscript"/>
        </w:rPr>
        <w:t>3</w:t>
      </w:r>
      <w:r>
        <w:rPr>
          <w:i/>
        </w:rPr>
        <w:t>A coluna também é utilizada para indicar o SO qualificável aceitável para um dispositivo principal de um utilizador quando um utilizador está licenciado com o SA do Windows por Utilizador.</w:t>
      </w:r>
    </w:p>
    <w:p w:rsidR="00D87CDE" w:rsidRDefault="00AC602F">
      <w:pPr>
        <w:pStyle w:val="ProductList-BodyIndented"/>
      </w:pPr>
      <w:r>
        <w:rPr>
          <w:i/>
          <w:vertAlign w:val="superscript"/>
        </w:rPr>
        <w:t>4</w:t>
      </w:r>
      <w:r>
        <w:rPr>
          <w:i/>
        </w:rPr>
        <w:t>Não se aplica a Academic, Charity e OV-CW.</w:t>
      </w:r>
    </w:p>
    <w:p w:rsidR="00D87CDE" w:rsidRDefault="00AC602F">
      <w:pPr>
        <w:pStyle w:val="ProductList-BodyIndented"/>
      </w:pPr>
      <w:r>
        <w:rPr>
          <w:i/>
          <w:vertAlign w:val="superscript"/>
        </w:rPr>
        <w:t>5</w:t>
      </w:r>
      <w:r>
        <w:rPr>
          <w:i/>
        </w:rPr>
        <w:t>N, K e KN são edições especializadas disponíveis para determinados mercados.</w:t>
      </w:r>
    </w:p>
    <w:p w:rsidR="00D87CDE" w:rsidRDefault="00D87CDE">
      <w:pPr>
        <w:pStyle w:val="ProductList-BodyIndented"/>
      </w:pPr>
    </w:p>
    <w:p w:rsidR="00D87CDE" w:rsidRDefault="00AC602F">
      <w:pPr>
        <w:pStyle w:val="ProductList-SubClauseHeading"/>
        <w:outlineLvl w:val="5"/>
      </w:pPr>
      <w:r>
        <w:t>2.1.2 Gráfico de Sistemas Operativos (OS) Qualificáveis de Utilização Restrita</w:t>
      </w:r>
    </w:p>
    <w:p w:rsidR="00D87CDE" w:rsidRDefault="00AC602F">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D87CD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Academic e Charity</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10 IoT Enterprise para Clientes de Retalho ou Magros</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6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bl>
    <w:p w:rsidR="00D87CDE" w:rsidRDefault="00AC602F">
      <w:pPr>
        <w:pStyle w:val="ProductList-BodyIndented"/>
      </w:pPr>
      <w:r>
        <w:rPr>
          <w:i/>
          <w:vertAlign w:val="superscript"/>
        </w:rPr>
        <w:t>1</w:t>
      </w:r>
      <w:r>
        <w:rPr>
          <w:i/>
        </w:rPr>
        <w:t xml:space="preserve">Inclui os sistemas operativos de 32 e 64 bits. </w:t>
      </w:r>
    </w:p>
    <w:p w:rsidR="00D87CDE" w:rsidRDefault="00AC602F">
      <w:pPr>
        <w:pStyle w:val="ProductList-BodyIndented"/>
      </w:pPr>
      <w:r>
        <w:rPr>
          <w:i/>
          <w:vertAlign w:val="superscript"/>
        </w:rPr>
        <w:t>2</w:t>
      </w:r>
      <w:r>
        <w:rPr>
          <w:i/>
        </w:rPr>
        <w:t xml:space="preserve">Também aplicável a Dispositivos Qualificados adquiridos através de fusão ou aquisição </w:t>
      </w:r>
    </w:p>
    <w:p w:rsidR="00D87CDE" w:rsidRDefault="00AC602F">
      <w:pPr>
        <w:pStyle w:val="ProductList-BodyIndented"/>
      </w:pPr>
      <w:r>
        <w:rPr>
          <w:i/>
          <w:vertAlign w:val="superscript"/>
        </w:rPr>
        <w:t>3</w:t>
      </w:r>
      <w:r>
        <w:rPr>
          <w:i/>
        </w:rPr>
        <w:t>Não se aplica a Academic, Charity e OV-CW.</w:t>
      </w:r>
    </w:p>
    <w:p w:rsidR="00D87CDE" w:rsidRDefault="00D87CDE">
      <w:pPr>
        <w:pStyle w:val="ProductList-BodyIndented"/>
      </w:pPr>
    </w:p>
    <w:p w:rsidR="00D87CDE" w:rsidRDefault="00AC602F">
      <w:pPr>
        <w:pStyle w:val="ProductList-BodyIndented"/>
      </w:pPr>
      <w:r>
        <w:rPr>
          <w:b/>
        </w:rPr>
        <w:t>2.1.2.1 Restrições de utilização para Sistemas Operativos Qualificáveis Windows Embedded</w:t>
      </w:r>
    </w:p>
    <w:p w:rsidR="00D87CDE" w:rsidRDefault="00AC602F" w:rsidP="00AC602F">
      <w:pPr>
        <w:pStyle w:val="ProductList-Bullet"/>
        <w:numPr>
          <w:ilvl w:val="1"/>
          <w:numId w:val="22"/>
        </w:numPr>
      </w:pPr>
      <w:r>
        <w:t xml:space="preserve">Se o software de atualização estiver instalado em dispositivos licenciados e anteriormente com quaisquer edições suportadas dos SO Qualificável Condicional, aplica-se o seguinte: </w:t>
      </w:r>
    </w:p>
    <w:p w:rsidR="00D87CDE" w:rsidRDefault="00AC602F" w:rsidP="00AC602F">
      <w:pPr>
        <w:pStyle w:val="ProductList-Bullet"/>
        <w:numPr>
          <w:ilvl w:val="2"/>
          <w:numId w:val="22"/>
        </w:numPr>
      </w:pPr>
      <w:r>
        <w:t xml:space="preserve">Utilização Específica. O Dispositivo Licenciado de Cliente é designado para uma utilização específica. O Cliente não pode utilizar o software para esse fim. </w:t>
      </w:r>
    </w:p>
    <w:p w:rsidR="00D87CDE" w:rsidRDefault="00AC602F" w:rsidP="00AC602F">
      <w:pPr>
        <w:pStyle w:val="ProductList-Bullet"/>
        <w:numPr>
          <w:ilvl w:val="2"/>
          <w:numId w:val="22"/>
        </w:numPr>
      </w:pPr>
      <w:r>
        <w:t>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rsidR="00D87CDE" w:rsidRDefault="00AC602F" w:rsidP="00AC602F">
      <w:pPr>
        <w:pStyle w:val="ProductList-Bullet"/>
        <w:numPr>
          <w:ilvl w:val="1"/>
          <w:numId w:val="22"/>
        </w:numPr>
      </w:pPr>
      <w:r>
        <w:t xml:space="preserve">Além disso, o Cliente pode utilizar o software apenas localmente nos dispositivos atualizados para o Windows 10 IoT Enterprise para Clientes de Retalho/Magros: </w:t>
      </w:r>
    </w:p>
    <w:p w:rsidR="00D87CDE" w:rsidRDefault="00AC602F" w:rsidP="00AC602F">
      <w:pPr>
        <w:pStyle w:val="ProductList-Bullet"/>
        <w:numPr>
          <w:ilvl w:val="2"/>
          <w:numId w:val="22"/>
        </w:numPr>
      </w:pPr>
      <w:r>
        <w:t>o Cliente deve utilizar o software com uma aplicação “POS” de ponto de serviço ao atualizar a partir do Windows Embedded 8.1 Industry Pro Retail (ou qualquer versão anterior).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D87CDE" w:rsidRDefault="00D87CDE">
      <w:pPr>
        <w:pStyle w:val="ProductList-BodyIndented"/>
      </w:pPr>
    </w:p>
    <w:p w:rsidR="00D87CDE" w:rsidRDefault="00AC602F">
      <w:pPr>
        <w:pStyle w:val="ProductList-SubClauseHeading"/>
        <w:outlineLvl w:val="5"/>
      </w:pPr>
      <w:r>
        <w:t>2.1.3 Regras de SO Qualificável para as Licenças de Atualização de Licenciamento em Volume do Windows</w:t>
      </w:r>
    </w:p>
    <w:p w:rsidR="00D87CDE" w:rsidRDefault="00AC602F" w:rsidP="00AC602F">
      <w:pPr>
        <w:pStyle w:val="ProductList-Bullet"/>
        <w:numPr>
          <w:ilvl w:val="1"/>
          <w:numId w:val="23"/>
        </w:numPr>
      </w:pPr>
      <w:r>
        <w:t xml:space="preserve">O SO qualificável tem de ser instalado no dispositivo ao qual a Licença de Atualização de Licenciamento em Volume será atribuída. </w:t>
      </w:r>
    </w:p>
    <w:p w:rsidR="00D87CDE" w:rsidRDefault="00AC602F" w:rsidP="00AC602F">
      <w:pPr>
        <w:pStyle w:val="ProductList-Bullet"/>
        <w:numPr>
          <w:ilvl w:val="1"/>
          <w:numId w:val="23"/>
        </w:numPr>
      </w:pPr>
      <w:r>
        <w:t xml:space="preserve">O Apple Macintosh só é um SO qualificável se for pré-instalado pelo fabricante autorizado antes da venda inicial do dispositivo. </w:t>
      </w:r>
    </w:p>
    <w:p w:rsidR="00D87CDE" w:rsidRDefault="00AC602F" w:rsidP="00AC602F">
      <w:pPr>
        <w:pStyle w:val="ProductList-Bullet"/>
        <w:numPr>
          <w:ilvl w:val="1"/>
          <w:numId w:val="23"/>
        </w:numPr>
      </w:pPr>
      <w:r>
        <w:t>Os clientes têm de remover o OS qualificável do dispositivo para implementar a licença de Atualização de Licenciamento em Volume, a menos que também tenham SA na licença de Atualização de Licenciamento em Volume.</w:t>
      </w:r>
    </w:p>
    <w:p w:rsidR="00D87CDE" w:rsidRDefault="00AC602F" w:rsidP="00AC602F">
      <w:pPr>
        <w:pStyle w:val="ProductList-Bullet"/>
        <w:numPr>
          <w:ilvl w:val="1"/>
          <w:numId w:val="23"/>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D87CDE" w:rsidRDefault="00D87CDE">
      <w:pPr>
        <w:pStyle w:val="ProductList-BodyIndented"/>
      </w:pPr>
    </w:p>
    <w:p w:rsidR="00D87CDE" w:rsidRDefault="00AC602F">
      <w:pPr>
        <w:pStyle w:val="ProductList-ClauseHeading"/>
        <w:outlineLvl w:val="4"/>
      </w:pPr>
      <w:r>
        <w:t>2.2 Atualização do Windows Enterprise (desprovida de versões) e Atualização do Windows Professional (desprovida de versões)</w:t>
      </w:r>
    </w:p>
    <w:p w:rsidR="00D87CDE" w:rsidRDefault="00AC602F">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D87CDE" w:rsidRDefault="00D87CDE">
      <w:pPr>
        <w:pStyle w:val="ProductList-Body"/>
      </w:pPr>
    </w:p>
    <w:p w:rsidR="00D87CDE" w:rsidRDefault="00AC602F">
      <w:pPr>
        <w:pStyle w:val="ProductList-ClauseHeading"/>
        <w:outlineLvl w:val="4"/>
      </w:pPr>
      <w:r>
        <w:t>2.3 Re-Imaging com Windows 10</w:t>
      </w:r>
    </w:p>
    <w:p w:rsidR="00D87CDE" w:rsidRDefault="00AC602F">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D87CDE" w:rsidRDefault="00D87CDE">
      <w:pPr>
        <w:pStyle w:val="ProductList-Body"/>
      </w:pPr>
    </w:p>
    <w:p w:rsidR="00D87CDE" w:rsidRDefault="00AC602F">
      <w:pPr>
        <w:pStyle w:val="ProductList-ClauseHeading"/>
        <w:outlineLvl w:val="4"/>
      </w:pPr>
      <w:r>
        <w:t>2.4 Opções de Execução Regionais</w:t>
      </w:r>
    </w:p>
    <w:p w:rsidR="00D87CDE" w:rsidRDefault="00AC602F">
      <w:pPr>
        <w:pStyle w:val="ProductList-SubClauseHeading"/>
        <w:outlineLvl w:val="5"/>
      </w:pPr>
      <w:r>
        <w:t>2.4.1 Versões N (Não inclui o Windows Media Player) do Microsoft Windows XP Professional, Vista Business e 7 Professional</w:t>
      </w:r>
    </w:p>
    <w:p w:rsidR="00D87CDE" w:rsidRDefault="00AC602F">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72">
        <w:r>
          <w:rPr>
            <w:color w:val="00467F"/>
            <w:u w:val="single"/>
          </w:rPr>
          <w:t>http://go.microsoft.com/?linkid=9839207</w:t>
        </w:r>
      </w:hyperlink>
      <w:r>
        <w:t>.</w:t>
      </w:r>
    </w:p>
    <w:p w:rsidR="00D87CDE" w:rsidRDefault="00D87CDE">
      <w:pPr>
        <w:pStyle w:val="ProductList-BodyIndented"/>
      </w:pPr>
    </w:p>
    <w:p w:rsidR="00D87CDE" w:rsidRDefault="00AC602F">
      <w:pPr>
        <w:pStyle w:val="ProductList-SubClauseHeading"/>
        <w:outlineLvl w:val="5"/>
      </w:pPr>
      <w:r>
        <w:t>2.4.2 Versões K e KN do Windows XP Professional, Vista Business e 7 Professional</w:t>
      </w:r>
    </w:p>
    <w:p w:rsidR="00D87CDE" w:rsidRDefault="00AC602F">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73">
        <w:r>
          <w:rPr>
            <w:color w:val="00467F"/>
            <w:u w:val="single"/>
          </w:rPr>
          <w:t>http://go.microsoft.com/?linkid=9839207</w:t>
        </w:r>
      </w:hyperlink>
      <w:r>
        <w:t>.</w:t>
      </w:r>
    </w:p>
    <w:p w:rsidR="00D87CDE" w:rsidRDefault="00D87CDE">
      <w:pPr>
        <w:pStyle w:val="ProductList-BodyIndented"/>
      </w:pPr>
    </w:p>
    <w:p w:rsidR="00D87CDE" w:rsidRDefault="00AC602F">
      <w:pPr>
        <w:pStyle w:val="ProductList-SubClauseHeading"/>
        <w:outlineLvl w:val="5"/>
      </w:pPr>
      <w:r>
        <w:t>2.4.3 Windows 8/8.1 Pro KN e Windows 10 Pro KN</w:t>
      </w:r>
    </w:p>
    <w:p w:rsidR="00D87CDE" w:rsidRDefault="00AC602F">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D87CDE" w:rsidRDefault="00D87CDE">
      <w:pPr>
        <w:pStyle w:val="ProductList-BodyIndented"/>
      </w:pPr>
    </w:p>
    <w:p w:rsidR="00D87CDE" w:rsidRDefault="00AC602F">
      <w:pPr>
        <w:pStyle w:val="ProductList-SubClauseHeading"/>
        <w:outlineLvl w:val="5"/>
      </w:pPr>
      <w:r>
        <w:t>2.4.4 Windows 8/8.1 Pro N e Windows 10 Pro N (Não inclui o Windows Media Player)</w:t>
      </w:r>
    </w:p>
    <w:p w:rsidR="00D87CDE" w:rsidRDefault="00AC602F">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D87CDE" w:rsidRDefault="00D87CDE">
      <w:pPr>
        <w:pStyle w:val="ProductList-BodyIndented"/>
      </w:pPr>
    </w:p>
    <w:p w:rsidR="00D87CDE" w:rsidRDefault="00AC602F">
      <w:pPr>
        <w:pStyle w:val="ProductList-ClauseHeading"/>
        <w:outlineLvl w:val="4"/>
      </w:pPr>
      <w:r>
        <w:t>2.5 Windows Embedded 8 Standard Enterprise Kit</w:t>
      </w:r>
    </w:p>
    <w:p w:rsidR="00D87CDE" w:rsidRDefault="00AC602F">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D87CDE" w:rsidRDefault="00AC602F">
      <w:pPr>
        <w:pStyle w:val="ProductList-Offering1SubSection"/>
        <w:outlineLvl w:val="3"/>
      </w:pPr>
      <w:bookmarkStart w:id="193" w:name="_Sec813"/>
      <w:r>
        <w:t>3. Direitos de Utilização</w:t>
      </w:r>
      <w:bookmarkEnd w:id="193"/>
    </w:p>
    <w:tbl>
      <w:tblPr>
        <w:tblStyle w:val="PURTable"/>
        <w:tblW w:w="0" w:type="dxa"/>
        <w:tblLook w:val="04A0" w:firstRow="1" w:lastRow="0" w:firstColumn="1" w:lastColumn="0" w:noHBand="0" w:noVBand="1"/>
      </w:tblPr>
      <w:tblGrid>
        <w:gridCol w:w="3610"/>
        <w:gridCol w:w="3603"/>
        <w:gridCol w:w="357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Software Adicional: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Tecnologias Incluídas: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Atribuição da Licença</w:t>
      </w:r>
    </w:p>
    <w:p w:rsidR="00D87CDE" w:rsidRDefault="00AC602F">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D87CDE" w:rsidRDefault="00D87CDE">
      <w:pPr>
        <w:pStyle w:val="ProductList-Body"/>
      </w:pPr>
    </w:p>
    <w:p w:rsidR="00D87CDE" w:rsidRDefault="00AC602F">
      <w:pPr>
        <w:pStyle w:val="ProductList-ClauseHeading"/>
        <w:outlineLvl w:val="4"/>
      </w:pPr>
      <w:r>
        <w:t>3.2 Windows Apps</w:t>
      </w:r>
    </w:p>
    <w:p w:rsidR="00D87CDE" w:rsidRDefault="00AC602F">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74">
        <w:r>
          <w:rPr>
            <w:color w:val="00467F"/>
            <w:u w:val="single"/>
          </w:rPr>
          <w:t>http://go.microsoft.com/fwlink/?linkid=246338</w:t>
        </w:r>
      </w:hyperlink>
      <w:r>
        <w:t xml:space="preserve"> ou no caso das aplicações do Windows que acedem a serviços da Xbox, os termos de utilização de Xbox.com em </w:t>
      </w:r>
      <w:hyperlink r:id="rId75">
        <w:r>
          <w:rPr>
            <w:color w:val="00467F"/>
            <w:u w:val="single"/>
          </w:rPr>
          <w:t>http://xbox.com/legal/livetou</w:t>
        </w:r>
      </w:hyperlink>
      <w:r>
        <w:t>.</w:t>
      </w:r>
    </w:p>
    <w:p w:rsidR="00D87CDE" w:rsidRDefault="00AC602F">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92"/>
        <w:gridCol w:w="3624"/>
        <w:gridCol w:w="357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6">
              <w:r>
                <w:rPr>
                  <w:color w:val="00467F"/>
                  <w:u w:val="single"/>
                </w:rPr>
                <w:t xml:space="preserve">Junho de 2015 - Lista de Produto </w:t>
              </w:r>
            </w:hyperlink>
            <w:r>
              <w:t>(Subscrição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77">
              <w:r>
                <w:rPr>
                  <w:color w:val="00467F"/>
                  <w:u w:val="single"/>
                </w:rPr>
                <w:t>Fevereiro de 2016 – Termos de Produto</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4.1 Direitos de utilizador adicionais do Windows Software Assurance (Por Utilizador e Por Dispositivo) e Windows Virtual Desktop Access (VDA) (Por Utilizador e Por Dispositivo) concedidos através de SA</w:t>
      </w:r>
    </w:p>
    <w:p w:rsidR="00D87CDE" w:rsidRDefault="00AC602F">
      <w:pPr>
        <w:pStyle w:val="ProductList-Body"/>
      </w:pPr>
      <w:r>
        <w:t>“</w:t>
      </w:r>
      <w:r>
        <w:rPr>
          <w:b/>
          <w:color w:val="00188F"/>
        </w:rPr>
        <w:t>Software</w:t>
      </w:r>
      <w:r>
        <w:t xml:space="preserve">”, da forma utilizada aqui, refere-se ao Windows 10 Enterprise Current Branch ou ao Windows Enterprise LTSB. </w:t>
      </w:r>
    </w:p>
    <w:p w:rsidR="00D87CDE" w:rsidRDefault="00AC602F">
      <w:pPr>
        <w:pStyle w:val="ProductList-Body"/>
      </w:pPr>
      <w:r>
        <w:t>“</w:t>
      </w:r>
      <w:r>
        <w:rPr>
          <w:b/>
          <w:color w:val="00188F"/>
        </w:rPr>
        <w:t>Dispositivo Licenciado</w:t>
      </w:r>
      <w:r>
        <w:t>”, da forma utilizada aqui, refere-se ao dispositivo ao qual o Cliente atribui a cobertura ativa.</w:t>
      </w:r>
    </w:p>
    <w:p w:rsidR="00D87CDE" w:rsidRDefault="00AC602F">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D87CDE" w:rsidRDefault="00AC602F" w:rsidP="00AC602F">
      <w:pPr>
        <w:pStyle w:val="ProductList-Bullet"/>
        <w:numPr>
          <w:ilvl w:val="0"/>
          <w:numId w:val="24"/>
        </w:numPr>
      </w:pPr>
      <w:r>
        <w:t xml:space="preserve">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 </w:t>
      </w:r>
    </w:p>
    <w:p w:rsidR="00D87CDE" w:rsidRDefault="00AC602F" w:rsidP="00AC602F">
      <w:pPr>
        <w:pStyle w:val="ProductList-Bullet"/>
        <w:numPr>
          <w:ilvl w:val="0"/>
          <w:numId w:val="24"/>
        </w:numPr>
      </w:pPr>
      <w:r>
        <w:t xml:space="preserve">O Cliente pode criar e armazenar uma Instância do Software numa ou duas pens USB, através do Windows to Go, e utilizá-las nos Dispositivos Licenciados se for licenciado por dispositivo, ou em qualquer dispositivo por utilizadores licenciados por utilizador. </w:t>
      </w:r>
    </w:p>
    <w:p w:rsidR="00D87CDE" w:rsidRDefault="00AC602F" w:rsidP="00AC602F">
      <w:pPr>
        <w:pStyle w:val="ProductList-Bullet"/>
        <w:numPr>
          <w:ilvl w:val="0"/>
          <w:numId w:val="24"/>
        </w:numPr>
      </w:pPr>
      <w:r>
        <w:t xml:space="preserve">O Cliente pode executar o Windows 10 Pro, ou quaisquer versões anteriores do Software, em vez de qualquer Instância permitida nesta secção. </w:t>
      </w:r>
    </w:p>
    <w:p w:rsidR="00D87CDE" w:rsidRDefault="00AC602F" w:rsidP="00AC602F">
      <w:pPr>
        <w:pStyle w:val="ProductList-Bullet"/>
        <w:numPr>
          <w:ilvl w:val="0"/>
          <w:numId w:val="24"/>
        </w:numPr>
      </w:pPr>
      <w:r>
        <w:t>O Cliente não necessita de uma Licença para aceder às respetivas Instâncias permitidas apenas para administrar o Software.</w:t>
      </w:r>
    </w:p>
    <w:p w:rsidR="00D87CDE" w:rsidRDefault="00D87CDE">
      <w:pPr>
        <w:pStyle w:val="ProductList-Body"/>
      </w:pPr>
    </w:p>
    <w:p w:rsidR="00D87CDE" w:rsidRDefault="00AC602F">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D87CD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87CDE" w:rsidRDefault="00D87CD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87CDE" w:rsidRDefault="00AC602F">
            <w:pPr>
              <w:pStyle w:val="ProductList-TableBody"/>
              <w:jc w:val="center"/>
            </w:pPr>
            <w:r>
              <w:rPr>
                <w:color w:val="FFFFFF"/>
              </w:rPr>
              <w:t>SA do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87CDE" w:rsidRDefault="00AC602F">
            <w:pPr>
              <w:pStyle w:val="ProductList-TableBody"/>
              <w:jc w:val="center"/>
            </w:pPr>
            <w:r>
              <w:rPr>
                <w:color w:val="FFFFFF"/>
              </w:rPr>
              <w:t>Windows VDA</w:t>
            </w:r>
          </w:p>
        </w:tc>
      </w:tr>
      <w:tr w:rsidR="00D87CD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87CDE" w:rsidRDefault="00D87CD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Utilizador</w:t>
            </w:r>
          </w:p>
        </w:tc>
      </w:tr>
      <w:tr w:rsidR="00D87CDE">
        <w:tc>
          <w:tcPr>
            <w:tcW w:w="808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r>
      <w:tr w:rsidR="00D87CDE">
        <w:tc>
          <w:tcPr>
            <w:tcW w:w="808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808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bl>
    <w:p w:rsidR="00D87CDE" w:rsidRDefault="00D87CDE">
      <w:pPr>
        <w:pStyle w:val="ProductList-Body"/>
      </w:pPr>
    </w:p>
    <w:p w:rsidR="00D87CDE" w:rsidRDefault="00AC602F">
      <w:pPr>
        <w:pStyle w:val="ProductList-SubClauseHeading"/>
        <w:outlineLvl w:val="5"/>
      </w:pPr>
      <w:r>
        <w:t>4.1.1 Direitos do Windows 10 Enterprise Current Branch</w:t>
      </w:r>
    </w:p>
    <w:p w:rsidR="00D87CDE" w:rsidRDefault="00AC602F">
      <w:pPr>
        <w:pStyle w:val="ProductList-BodyIndented"/>
      </w:pPr>
      <w:r>
        <w:t>O Windows 10 Enterprise Current Branch só pode ser utilizado pelos Clientes com licenças ativas do Windows SA ou VDA. Os clientes que permitem que a SA cesse devem desinstalar o Windows 10 Enterprise Current Branch. Os clientes que têm direitos perpétuos sobre o Windows Enterprise poderão instalar a versão do Windows Enterprise LTSB atual no momento da cessação.</w:t>
      </w:r>
    </w:p>
    <w:p w:rsidR="00D87CDE" w:rsidRDefault="00D87CDE">
      <w:pPr>
        <w:pStyle w:val="ProductList-BodyIndented"/>
      </w:pPr>
    </w:p>
    <w:p w:rsidR="00D87CDE" w:rsidRDefault="00AC602F">
      <w:pPr>
        <w:pStyle w:val="ProductList-ClauseHeading"/>
        <w:outlineLvl w:val="4"/>
      </w:pPr>
      <w:r>
        <w:t>4.2 Sistemas Operativos Qualificáveis (OS)</w:t>
      </w:r>
    </w:p>
    <w:p w:rsidR="00D87CDE" w:rsidRDefault="00AC602F">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D87CDE" w:rsidRDefault="00AC602F" w:rsidP="00AC602F">
      <w:pPr>
        <w:pStyle w:val="ProductList-Bullet"/>
        <w:numPr>
          <w:ilvl w:val="0"/>
          <w:numId w:val="25"/>
        </w:numPr>
      </w:pPr>
      <w:r>
        <w:t xml:space="preserve">Os clientes que anteriormente adquiriram SA para Windows Pro podem renovar a cobertura SA nos respetivos dispositivos cobertos sem a necessidade de comprar uma licença de Atualização do Windows Enterprise. </w:t>
      </w:r>
    </w:p>
    <w:p w:rsidR="00D87CDE" w:rsidRDefault="00AC602F" w:rsidP="00AC602F">
      <w:pPr>
        <w:pStyle w:val="ProductList-Bullet"/>
        <w:numPr>
          <w:ilvl w:val="0"/>
          <w:numId w:val="25"/>
        </w:numPr>
      </w:pPr>
      <w:r>
        <w:t>Os clientes que tenham adquirido anteriormente a Atualização do Windows Pro + SA poderão continuar a adquirir a Atualização do Pro + SA até ao fim da respetiva inscrição ou contrato.</w:t>
      </w:r>
    </w:p>
    <w:p w:rsidR="00D87CDE" w:rsidRDefault="00D87CDE">
      <w:pPr>
        <w:pStyle w:val="ProductList-Body"/>
      </w:pPr>
    </w:p>
    <w:p w:rsidR="00D87CDE" w:rsidRDefault="00AC602F">
      <w:pPr>
        <w:pStyle w:val="ProductList-ClauseHeading"/>
        <w:outlineLvl w:val="4"/>
      </w:pPr>
      <w:r>
        <w:t>4.3 Software Assurance do Windows Por Reatribuição do Dispositivo</w:t>
      </w:r>
    </w:p>
    <w:p w:rsidR="00D87CDE" w:rsidRDefault="00AC602F">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D87CDE" w:rsidRDefault="00D87CDE">
      <w:pPr>
        <w:pStyle w:val="ProductList-Body"/>
      </w:pPr>
    </w:p>
    <w:p w:rsidR="00D87CDE" w:rsidRDefault="00AC602F">
      <w:pPr>
        <w:pStyle w:val="ProductList-ClauseHeading"/>
        <w:outlineLvl w:val="4"/>
      </w:pPr>
      <w:r>
        <w:t>4.4 Regras de Atribuição de Licença Por Utilizador do Software Assurance do Windows</w:t>
      </w:r>
    </w:p>
    <w:p w:rsidR="00D87CDE" w:rsidRDefault="00AC602F">
      <w:pPr>
        <w:pStyle w:val="ProductList-SubClauseHeading"/>
        <w:outlineLvl w:val="5"/>
      </w:pPr>
      <w:r>
        <w:t>4.4.1 SL de Utilizador do SA do Windows Enterprise Por Utilizador</w:t>
      </w:r>
    </w:p>
    <w:p w:rsidR="00D87CDE" w:rsidRDefault="00AC602F">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D87CDE" w:rsidRDefault="00D87CDE">
      <w:pPr>
        <w:pStyle w:val="ProductList-BodyIndented"/>
      </w:pPr>
    </w:p>
    <w:p w:rsidR="00D87CDE" w:rsidRDefault="00AC602F">
      <w:pPr>
        <w:pStyle w:val="ProductList-SubClauseHeading"/>
        <w:outlineLvl w:val="5"/>
      </w:pPr>
      <w:r>
        <w:t>4.4.2 Suplemento do SA do Windows Enterprise Por Utilizador</w:t>
      </w:r>
    </w:p>
    <w:p w:rsidR="00D87CDE" w:rsidRDefault="00AC602F">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D87CDE" w:rsidRDefault="00D87CDE">
      <w:pPr>
        <w:pStyle w:val="ProductList-BodyIndented"/>
      </w:pPr>
    </w:p>
    <w:p w:rsidR="00D87CDE" w:rsidRDefault="00AC602F">
      <w:pPr>
        <w:pStyle w:val="ProductList-ClauseHeading"/>
        <w:outlineLvl w:val="4"/>
      </w:pPr>
      <w:r>
        <w:t>4.5 Suplemento do Software Assurance para Sistema Operativo de Estação de Trabalho Windows Por Utilizador</w:t>
      </w:r>
    </w:p>
    <w:p w:rsidR="00D87CDE" w:rsidRDefault="00AC602F">
      <w:pPr>
        <w:pStyle w:val="ProductList-Body"/>
      </w:pPr>
      <w:r>
        <w:t xml:space="preserve">O Suplemento do SA do Sistema Operativo de Estação de Trabalho Windows Por Utilizador é uma Licença de Subscrição que </w:t>
      </w:r>
    </w:p>
    <w:p w:rsidR="00D87CDE" w:rsidRDefault="00AC602F" w:rsidP="00AC602F">
      <w:pPr>
        <w:pStyle w:val="ProductList-Bullet"/>
        <w:numPr>
          <w:ilvl w:val="0"/>
          <w:numId w:val="26"/>
        </w:numPr>
      </w:pPr>
      <w:r>
        <w:t>é adquirida além de (e que está associada a) um dispositivo licenciado para o Sistema Operativo de Estação de Trabalho Windows com cobertura SA (“Cobertura Qualificável”) ou VDA (“Licença Qualificável”),</w:t>
      </w:r>
    </w:p>
    <w:p w:rsidR="00D87CDE" w:rsidRDefault="00AC602F" w:rsidP="00AC602F">
      <w:pPr>
        <w:pStyle w:val="ProductList-Bullet"/>
        <w:numPr>
          <w:ilvl w:val="0"/>
          <w:numId w:val="26"/>
        </w:numPr>
      </w:pPr>
      <w:r>
        <w:t>é atribuída ao Utilizador Principal desse dispositivo (dispositivo este que é também o dispositivo de trabalho principal do Utilizador Principal),</w:t>
      </w:r>
    </w:p>
    <w:p w:rsidR="00D87CDE" w:rsidRDefault="00AC602F" w:rsidP="00AC602F">
      <w:pPr>
        <w:pStyle w:val="ProductList-Bullet"/>
        <w:numPr>
          <w:ilvl w:val="0"/>
          <w:numId w:val="26"/>
        </w:numPr>
      </w:pPr>
      <w:r>
        <w:t>permite a utilização do software Windows Enterprise sujeito aos Termos de Licenciamento do Windows Enterprise por Utilizador ou os Termos de Licenciamento do VDA por Utilizador, associados à Cobertura Qualificável ou à Licença Qualificável, respetivamente, e</w:t>
      </w:r>
    </w:p>
    <w:p w:rsidR="00D87CDE" w:rsidRDefault="00AC602F" w:rsidP="00AC602F">
      <w:pPr>
        <w:pStyle w:val="ProductList-Bullet"/>
        <w:numPr>
          <w:ilvl w:val="0"/>
          <w:numId w:val="26"/>
        </w:numPr>
      </w:pPr>
      <w:r>
        <w:t xml:space="preserve">expira quando expirar a Cobertura Qualificável ou a Licença Qualificável. </w:t>
      </w:r>
    </w:p>
    <w:p w:rsidR="00D87CDE" w:rsidRDefault="00AC602F">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rsidR="00D87CDE" w:rsidRDefault="00D87CDE">
      <w:pPr>
        <w:pStyle w:val="ProductList-Body"/>
      </w:pPr>
    </w:p>
    <w:p w:rsidR="00D87CDE" w:rsidRDefault="00AC602F">
      <w:pPr>
        <w:pStyle w:val="ProductList-ClauseHeading"/>
        <w:outlineLvl w:val="4"/>
      </w:pPr>
      <w:r>
        <w:t>4.6 Inscrições Enterprise com a combinação de cobertura VDA ou SA do Windows Por Utilizador e Por Dispositivo</w:t>
      </w:r>
    </w:p>
    <w:p w:rsidR="00D87CDE" w:rsidRDefault="00AC602F">
      <w:pPr>
        <w:pStyle w:val="ProductList-Body"/>
      </w:pPr>
      <w:r>
        <w:t>Os clientes que pretendam misturar o licenciamento de SA do Windows por Dispositivo e SA do Windows Por Utilizador poderão fazê-lo desde que:</w:t>
      </w:r>
    </w:p>
    <w:p w:rsidR="00D87CDE" w:rsidRDefault="00AC602F" w:rsidP="00AC602F">
      <w:pPr>
        <w:pStyle w:val="ProductList-Bullet"/>
        <w:numPr>
          <w:ilvl w:val="0"/>
          <w:numId w:val="27"/>
        </w:numPr>
      </w:pPr>
      <w:r>
        <w:t xml:space="preserve">Todos os utilizadores que utilizem Dispositivos Qualificados não licenciados sejam licenciados com SA do Windows por Utilizador (SL de Utilizador ou SL de Utilizador de Suplementos) e </w:t>
      </w:r>
    </w:p>
    <w:p w:rsidR="00D87CDE" w:rsidRDefault="00AC602F" w:rsidP="00AC602F">
      <w:pPr>
        <w:pStyle w:val="ProductList-Bullet"/>
        <w:numPr>
          <w:ilvl w:val="0"/>
          <w:numId w:val="27"/>
        </w:numPr>
      </w:pPr>
      <w:r>
        <w:t>Todos os Dispositivos Qualificados utilizados por utilizadores não licenciados sejam licenciados com SA do Windows por Dispositivo</w:t>
      </w:r>
    </w:p>
    <w:p w:rsidR="00D87CDE" w:rsidRDefault="00D87CDE">
      <w:pPr>
        <w:pStyle w:val="ProductList-Body"/>
      </w:pPr>
    </w:p>
    <w:p w:rsidR="00D87CDE" w:rsidRDefault="00AC602F">
      <w:pPr>
        <w:pStyle w:val="ProductList-ClauseHeading"/>
        <w:outlineLvl w:val="4"/>
      </w:pPr>
      <w:r>
        <w:t>4.7 Elegibilidade de Aquisição para SLs de Utilizador do Software Assurance para Sistema Operativo de Estação de Trabalho Windows (Por Utilizador) de SA Existente</w:t>
      </w:r>
    </w:p>
    <w:p w:rsidR="00D87CDE" w:rsidRDefault="00AC602F">
      <w:pPr>
        <w:pStyle w:val="ProductList-SubClauseHeading"/>
        <w:outlineLvl w:val="5"/>
      </w:pPr>
      <w:r>
        <w:t>4.7.1 Contratos Enterprise</w:t>
      </w:r>
    </w:p>
    <w:p w:rsidR="00D87CDE" w:rsidRDefault="00AC602F">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D87C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SL de Utilizador de SA Existente correspondente</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SL de Utilizador de SA do Sistema Operativo de Estação de Trabalho Windows (Por Utilizador) de SA Existente</w:t>
            </w:r>
            <w:r>
              <w:rPr>
                <w:vertAlign w:val="superscript"/>
              </w:rPr>
              <w:t>1</w:t>
            </w:r>
          </w:p>
        </w:tc>
      </w:tr>
    </w:tbl>
    <w:p w:rsidR="00D87CDE" w:rsidRDefault="00AC602F">
      <w:pPr>
        <w:pStyle w:val="ProductList-BodyIndented"/>
      </w:pPr>
      <w:r>
        <w:rPr>
          <w:i/>
          <w:vertAlign w:val="superscript"/>
        </w:rPr>
        <w:t>1</w:t>
      </w:r>
      <w:r>
        <w:rPr>
          <w:i/>
        </w:rPr>
        <w:t>Disponível para aquisição no aniversário da inscrição ou no início de um novo período de inscrição apenas.</w:t>
      </w:r>
    </w:p>
    <w:p w:rsidR="00D87CDE" w:rsidRDefault="00D87CDE">
      <w:pPr>
        <w:pStyle w:val="ProductList-BodyIndented"/>
      </w:pPr>
    </w:p>
    <w:p w:rsidR="00D87CDE" w:rsidRDefault="00AC602F">
      <w:pPr>
        <w:pStyle w:val="ProductList-SubClauseHeading"/>
        <w:outlineLvl w:val="5"/>
      </w:pPr>
      <w:r>
        <w:t>4.7.2 Contratos Enterprise Subscription</w:t>
      </w:r>
    </w:p>
    <w:p w:rsidR="00D87CDE" w:rsidRDefault="00AC602F">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uma SL de Utilizador de ECS de SA Existente. A Licença de Subscrição deve ter sido adquirida pelo menos três anos antes da aquisição da SL de Utilizador de SA Existente.</w:t>
      </w:r>
    </w:p>
    <w:p w:rsidR="00D87CDE" w:rsidRDefault="00D87CDE">
      <w:pPr>
        <w:pStyle w:val="ProductList-BodyIndented"/>
      </w:pPr>
    </w:p>
    <w:p w:rsidR="00D87CDE" w:rsidRDefault="00AC602F">
      <w:pPr>
        <w:pStyle w:val="ProductList-ClauseHeading"/>
        <w:outlineLvl w:val="4"/>
      </w:pPr>
      <w:r>
        <w:t>4.8 Microsoft Desktop Optimization Pack (MDOP)</w:t>
      </w:r>
    </w:p>
    <w:p w:rsidR="00D87CDE" w:rsidRDefault="00AC602F">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D87CDE" w:rsidRDefault="00D87CDE">
      <w:pPr>
        <w:pStyle w:val="ProductList-Body"/>
      </w:pPr>
    </w:p>
    <w:p w:rsidR="00D87CDE" w:rsidRDefault="00AC602F">
      <w:pPr>
        <w:pStyle w:val="ProductList-SubClauseHeading"/>
        <w:outlineLvl w:val="5"/>
      </w:pPr>
      <w:r>
        <w:t>4.8.1 Elegibilidade do MDOP</w:t>
      </w:r>
    </w:p>
    <w:p w:rsidR="00D87CDE" w:rsidRDefault="00AC602F">
      <w:pPr>
        <w:pStyle w:val="ProductList-BodyIndented"/>
      </w:pPr>
      <w:r>
        <w:t>Os seguintes Clientes têm direitos de utilização do MDOP incluído no Software Assurance do Windows e no Windows VDA e não necessitam de adquirir o MDOP em separado.</w:t>
      </w:r>
    </w:p>
    <w:p w:rsidR="00D87CDE" w:rsidRDefault="00AC602F" w:rsidP="00AC602F">
      <w:pPr>
        <w:pStyle w:val="ProductList-Bullet"/>
        <w:numPr>
          <w:ilvl w:val="1"/>
          <w:numId w:val="28"/>
        </w:numPr>
      </w:pPr>
      <w:r>
        <w:t xml:space="preserve">Todos os Clientes com SL de Utilizador por Utilizador do Software Assurance do Windows ou SL de Utilizador por Utilizador do VDA ativo. </w:t>
      </w:r>
    </w:p>
    <w:p w:rsidR="00D87CDE" w:rsidRDefault="00AC602F" w:rsidP="00AC602F">
      <w:pPr>
        <w:pStyle w:val="ProductList-Bullet"/>
        <w:numPr>
          <w:ilvl w:val="1"/>
          <w:numId w:val="28"/>
        </w:numPr>
      </w:pPr>
      <w:r>
        <w:t>Clientes com contratos com datas efetivas a partir de 1 de agosto de 2015 e que tenham Windows Software Assurance por Dispositivo e/ou VDA por Dispositivo.</w:t>
      </w:r>
    </w:p>
    <w:p w:rsidR="00D87CDE" w:rsidRDefault="00D87CDE">
      <w:pPr>
        <w:pStyle w:val="ProductList-BodyIndented"/>
      </w:pPr>
    </w:p>
    <w:p w:rsidR="00D87CDE" w:rsidRDefault="00AC602F">
      <w:pPr>
        <w:pStyle w:val="ProductList-ClauseHeading"/>
        <w:outlineLvl w:val="4"/>
      </w:pPr>
      <w:r>
        <w:t>4.9 Programas Académicos</w:t>
      </w:r>
    </w:p>
    <w:p w:rsidR="00D87CDE" w:rsidRDefault="00AC602F">
      <w:pPr>
        <w:pStyle w:val="ProductList-Body"/>
      </w:pPr>
      <w:r>
        <w:t>Aplica-se o seguinte aos clientes em todos os Programas de Licenciamento em Volume Académicos:</w:t>
      </w:r>
    </w:p>
    <w:p w:rsidR="00D87CDE" w:rsidRDefault="00AC602F">
      <w:pPr>
        <w:pStyle w:val="ProductList-SubClauseHeading"/>
        <w:outlineLvl w:val="5"/>
      </w:pPr>
      <w:r>
        <w:t>4.9.1 Direitos do Windows Enterprise LTSB</w:t>
      </w:r>
    </w:p>
    <w:p w:rsidR="00D87CDE" w:rsidRDefault="00AC602F">
      <w:pPr>
        <w:pStyle w:val="ProductList-BodyIndented"/>
      </w:pPr>
      <w:r>
        <w:t>As Instituições Académicas com SA do Windows Enterprise ou SA do Windows Education poderão instalar o Windows 10 Enterprise LTSB em vez de qualquer instância perpétua permitida.</w:t>
      </w:r>
    </w:p>
    <w:p w:rsidR="00D87CDE" w:rsidRDefault="00D87CDE">
      <w:pPr>
        <w:pStyle w:val="ProductList-BodyIndented"/>
      </w:pPr>
    </w:p>
    <w:p w:rsidR="00D87CDE" w:rsidRDefault="00AC602F">
      <w:pPr>
        <w:pStyle w:val="ProductList-SubClauseHeading"/>
        <w:outlineLvl w:val="5"/>
      </w:pPr>
      <w:r>
        <w:t>4.9.2 Direitos sobre o Windows 10 Enterprise ou Windows 10 Education Edition</w:t>
      </w:r>
    </w:p>
    <w:p w:rsidR="00D87CDE" w:rsidRDefault="00AC602F">
      <w:pPr>
        <w:pStyle w:val="ProductList-BodyIndented"/>
      </w:pPr>
      <w:r>
        <w:t>As Instituições Académicas com Software Assurance para o Windows Enterprise ou o Windows Education têm direitos de instalar e utilizar o Windows 10 Enterprise ou Windows 10 Education.</w:t>
      </w:r>
    </w:p>
    <w:p w:rsidR="00D87CDE" w:rsidRDefault="00D87CDE">
      <w:pPr>
        <w:pStyle w:val="ProductList-BodyIndented"/>
      </w:pPr>
    </w:p>
    <w:p w:rsidR="00D87CDE" w:rsidRDefault="00AC602F">
      <w:pPr>
        <w:pStyle w:val="ProductList-SubClauseHeading"/>
        <w:outlineLvl w:val="5"/>
      </w:pPr>
      <w:r>
        <w:t>4.9.3 Direitos Relativos a Versões Anteriores</w:t>
      </w:r>
    </w:p>
    <w:p w:rsidR="00D87CDE" w:rsidRDefault="00AC602F">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rsidR="00D87CDE" w:rsidRDefault="00D87CDE">
      <w:pPr>
        <w:pStyle w:val="ProductList-BodyIndented"/>
      </w:pPr>
    </w:p>
    <w:p w:rsidR="00D87CDE" w:rsidRDefault="00AC602F">
      <w:pPr>
        <w:pStyle w:val="ProductList-SubClauseHeading"/>
        <w:outlineLvl w:val="5"/>
      </w:pPr>
      <w:r>
        <w:t>4.9.4 Elegibilidade do MDOP</w:t>
      </w:r>
    </w:p>
    <w:p w:rsidR="00D87CDE" w:rsidRDefault="00AC602F">
      <w:pPr>
        <w:pStyle w:val="ProductList-BodyIndented"/>
      </w:pPr>
      <w:r>
        <w:t>As Instituições Académicas com Software Assurance para o Windows Enterprise ou o Windows Education têm direitos de instalar e utilizar o MDOP.</w:t>
      </w:r>
    </w:p>
    <w:p w:rsidR="00D87CDE" w:rsidRDefault="00D87CDE">
      <w:pPr>
        <w:pStyle w:val="ProductList-BodyIndented"/>
      </w:pPr>
    </w:p>
    <w:p w:rsidR="00D87CDE" w:rsidRDefault="00AC602F">
      <w:pPr>
        <w:pStyle w:val="ProductList-SubClauseHeading"/>
        <w:outlineLvl w:val="5"/>
      </w:pPr>
      <w:r>
        <w:t>4.9.5 Opção de Estudante do Windows To Go</w:t>
      </w:r>
    </w:p>
    <w:p w:rsidR="00D87CDE" w:rsidRDefault="00AC602F">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D87CDE" w:rsidRDefault="00D87CDE">
      <w:pPr>
        <w:pStyle w:val="ProductList-BodyIndented"/>
      </w:pPr>
    </w:p>
    <w:p w:rsidR="00D87CDE" w:rsidRDefault="00AC602F">
      <w:pPr>
        <w:pStyle w:val="ProductList-ClauseHeading"/>
        <w:outlineLvl w:val="4"/>
      </w:pPr>
      <w:r>
        <w:t>4.10 Windows 10 Mobile Enterprise</w:t>
      </w:r>
    </w:p>
    <w:p w:rsidR="00D87CDE" w:rsidRDefault="00AC602F">
      <w:pPr>
        <w:pStyle w:val="ProductList-Body"/>
      </w:pPr>
      <w:r>
        <w:t>Os clientes com a SA ativa do Windows por SL por Utilizador ou por Suplemento por Utilizador poderão instalar e utilizar o Windows 10 Mobile Enterprise nos dispositivos secundários do utilizador licenciado.</w:t>
      </w:r>
    </w:p>
    <w:p w:rsidR="00D87CDE" w:rsidRDefault="00D87CDE">
      <w:pPr>
        <w:pStyle w:val="ProductList-Body"/>
      </w:pPr>
    </w:p>
    <w:p w:rsidR="00D87CDE" w:rsidRDefault="00AC602F">
      <w:pPr>
        <w:pStyle w:val="ProductList-ClauseHeading"/>
        <w:outlineLvl w:val="4"/>
      </w:pPr>
      <w:r>
        <w:t>4.11 Sistema Operativo de Estação de Trabalho Windows – Direitos de execução das “Aplicações HPC de Cluster”</w:t>
      </w:r>
    </w:p>
    <w:p w:rsidR="00D87CDE" w:rsidRDefault="00D87CDE">
      <w:pPr>
        <w:pStyle w:val="ProductList-Body"/>
      </w:pPr>
    </w:p>
    <w:p w:rsidR="00D87CDE" w:rsidRDefault="00AC602F">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D87CDE" w:rsidRDefault="00D87CDE">
      <w:pPr>
        <w:pStyle w:val="ProductList-Body"/>
      </w:pPr>
    </w:p>
    <w:p w:rsidR="00D87CDE" w:rsidRDefault="00AC602F">
      <w:pPr>
        <w:pStyle w:val="ProductList-ClauseHeading"/>
        <w:outlineLvl w:val="4"/>
      </w:pPr>
      <w:r>
        <w:t>4.12 Sistema Operativo de Estação de Trabalho Windows – Windows Thin PC</w:t>
      </w:r>
    </w:p>
    <w:p w:rsidR="00D87CDE" w:rsidRDefault="00AC602F">
      <w:pPr>
        <w:pStyle w:val="ProductList-Body"/>
      </w:pPr>
      <w:r>
        <w:t>O Cliente poderá utilizar o software Windows Thin PC em vez do software do Sistema Operativo de Estação de Trabalho Windows mas apenas para executar os tipos de aplicações listadas abaixo.</w:t>
      </w:r>
    </w:p>
    <w:p w:rsidR="00D87CDE" w:rsidRDefault="00AC602F" w:rsidP="00AC602F">
      <w:pPr>
        <w:pStyle w:val="ProductList-Bullet"/>
        <w:numPr>
          <w:ilvl w:val="0"/>
          <w:numId w:val="29"/>
        </w:numPr>
      </w:pPr>
      <w:r>
        <w:t>segurança</w:t>
      </w:r>
    </w:p>
    <w:p w:rsidR="00D87CDE" w:rsidRDefault="00AC602F" w:rsidP="00AC602F">
      <w:pPr>
        <w:pStyle w:val="ProductList-Bullet"/>
        <w:numPr>
          <w:ilvl w:val="0"/>
          <w:numId w:val="29"/>
        </w:numPr>
      </w:pPr>
      <w:r>
        <w:t>gestão</w:t>
      </w:r>
    </w:p>
    <w:p w:rsidR="00D87CDE" w:rsidRDefault="00AC602F" w:rsidP="00AC602F">
      <w:pPr>
        <w:pStyle w:val="ProductList-Bullet"/>
        <w:numPr>
          <w:ilvl w:val="0"/>
          <w:numId w:val="29"/>
        </w:numPr>
      </w:pPr>
      <w:r>
        <w:t>emulação de terminal</w:t>
      </w:r>
    </w:p>
    <w:p w:rsidR="00D87CDE" w:rsidRDefault="00AC602F" w:rsidP="00AC602F">
      <w:pPr>
        <w:pStyle w:val="ProductList-Bullet"/>
        <w:numPr>
          <w:ilvl w:val="0"/>
          <w:numId w:val="29"/>
        </w:numPr>
      </w:pPr>
      <w:r>
        <w:t>Ambiente de Trabalho Remoto e tecnologias semelhantes</w:t>
      </w:r>
    </w:p>
    <w:p w:rsidR="00D87CDE" w:rsidRDefault="00AC602F" w:rsidP="00AC602F">
      <w:pPr>
        <w:pStyle w:val="ProductList-Bullet"/>
        <w:numPr>
          <w:ilvl w:val="0"/>
          <w:numId w:val="29"/>
        </w:numPr>
      </w:pPr>
      <w:r>
        <w:t>browser para a web</w:t>
      </w:r>
    </w:p>
    <w:p w:rsidR="00D87CDE" w:rsidRDefault="00AC602F" w:rsidP="00AC602F">
      <w:pPr>
        <w:pStyle w:val="ProductList-Bullet"/>
        <w:numPr>
          <w:ilvl w:val="0"/>
          <w:numId w:val="29"/>
        </w:numPr>
      </w:pPr>
      <w:r>
        <w:t>Media Player</w:t>
      </w:r>
    </w:p>
    <w:p w:rsidR="00D87CDE" w:rsidRDefault="00AC602F" w:rsidP="00AC602F">
      <w:pPr>
        <w:pStyle w:val="ProductList-Bullet"/>
        <w:numPr>
          <w:ilvl w:val="0"/>
          <w:numId w:val="29"/>
        </w:numPr>
      </w:pPr>
      <w:r>
        <w:t>cliente de mensagens instantâneas</w:t>
      </w:r>
    </w:p>
    <w:p w:rsidR="00D87CDE" w:rsidRDefault="00AC602F" w:rsidP="00AC602F">
      <w:pPr>
        <w:pStyle w:val="ProductList-Bullet"/>
        <w:numPr>
          <w:ilvl w:val="0"/>
          <w:numId w:val="29"/>
        </w:numPr>
      </w:pPr>
      <w:r>
        <w:t>visualizadores de documentos</w:t>
      </w:r>
    </w:p>
    <w:p w:rsidR="00D87CDE" w:rsidRDefault="00AC602F" w:rsidP="00AC602F">
      <w:pPr>
        <w:pStyle w:val="ProductList-Bullet"/>
        <w:numPr>
          <w:ilvl w:val="0"/>
          <w:numId w:val="29"/>
        </w:numPr>
      </w:pPr>
      <w:r>
        <w:t>NET Framework e Java Virtual Machine</w:t>
      </w:r>
    </w:p>
    <w:p w:rsidR="00D87CDE" w:rsidRDefault="00AC602F">
      <w:pPr>
        <w:pStyle w:val="ProductList-Body"/>
      </w:pPr>
      <w:r>
        <w:t>O Cliente poderá utilizar o software num dispositivo diferente do dispositivo onde foi instalado primeiro se mover a cobertura Software Assurance correspondente para esse outro dispositivo.</w:t>
      </w:r>
    </w:p>
    <w:p w:rsidR="00D87CDE" w:rsidRDefault="00D87CDE">
      <w:pPr>
        <w:pStyle w:val="ProductList-Body"/>
      </w:pPr>
    </w:p>
    <w:p w:rsidR="00D87CDE" w:rsidRDefault="00AC602F">
      <w:pPr>
        <w:pStyle w:val="ProductList-ClauseHeading"/>
        <w:outlineLvl w:val="4"/>
      </w:pPr>
      <w:r>
        <w:t>4.13 Software Assurance para o Windows Embedded Industry Enterprise</w:t>
      </w:r>
    </w:p>
    <w:p w:rsidR="00D87CDE" w:rsidRDefault="00AC602F">
      <w:pPr>
        <w:pStyle w:val="ProductList-Body"/>
      </w:pPr>
      <w:r>
        <w:t xml:space="preserve">Os Clientes com Software Assurance para o Windows Embedded Industry Enterprise têm os mesmos direitos e restrições que o Software Assurance do Windows. </w:t>
      </w:r>
    </w:p>
    <w:p w:rsidR="00D87CDE" w:rsidRDefault="00D87CDE">
      <w:pPr>
        <w:pStyle w:val="PURBreadcrumb"/>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GroupHeading"/>
        <w:outlineLvl w:val="1"/>
      </w:pPr>
      <w:bookmarkStart w:id="195" w:name="_Sec619"/>
      <w:r>
        <w:t>Windows Server</w:t>
      </w:r>
      <w:bookmarkEnd w:id="195"/>
      <w:r>
        <w:fldChar w:fldCharType="begin"/>
      </w:r>
      <w:r>
        <w:instrText xml:space="preserve"> TC "</w:instrText>
      </w:r>
      <w:bookmarkStart w:id="196" w:name="_Toc452110488"/>
      <w:r>
        <w:instrText>Windows Server</w:instrText>
      </w:r>
      <w:bookmarkEnd w:id="196"/>
      <w:r>
        <w:instrText>" \l 2</w:instrText>
      </w:r>
      <w:r>
        <w:fldChar w:fldCharType="end"/>
      </w:r>
    </w:p>
    <w:p w:rsidR="00D87CDE" w:rsidRDefault="00AC602F">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10489"/>
      <w:r>
        <w:instrText>Windows MultiPoint Server</w:instrText>
      </w:r>
      <w:bookmarkEnd w:id="198"/>
      <w:r>
        <w:instrText>" \l 3</w:instrText>
      </w:r>
      <w:r>
        <w:fldChar w:fldCharType="end"/>
      </w:r>
    </w:p>
    <w:p w:rsidR="00D87CDE" w:rsidRDefault="00AC602F">
      <w:pPr>
        <w:pStyle w:val="ProductList-Offering1SubSection"/>
        <w:outlineLvl w:val="3"/>
      </w:pPr>
      <w:bookmarkStart w:id="199" w:name="_Sec702"/>
      <w:r>
        <w:t>1. Disponibilidade do Programa</w:t>
      </w:r>
      <w:bookmarkEnd w:id="199"/>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9" w:space="0" w:color="FFFFFF"/>
              <w:left w:val="single" w:sz="9" w:space="0" w:color="FFFFFF"/>
              <w:bottom w:val="dashed" w:sz="4" w:space="0" w:color="BFBFBF"/>
              <w:right w:val="single" w:sz="9" w:space="0" w:color="FFFFFF"/>
            </w:tcBorders>
          </w:tcPr>
          <w:p w:rsidR="00D87CDE" w:rsidRDefault="00AC602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t>Windows MultiPoint Server 2012 Premium com Windows MultiPoint Server 2012 CAL (5 clientes)</w:t>
            </w:r>
            <w:r>
              <w:fldChar w:fldCharType="begin"/>
            </w:r>
            <w:r>
              <w:instrText xml:space="preserve"> XE "Windows MultiPoint Server 2012 Premium com Windows MultiPoint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t>Windows MultiPoint Server 2012 Premium com Windows MultiPoint Server 2012 CAL (5 clientes) com Windows Server 2012 CAL (5 clientes)</w:t>
            </w:r>
            <w:r>
              <w:fldChar w:fldCharType="begin"/>
            </w:r>
            <w:r>
              <w:instrText xml:space="preserve"> XE "Windows MultiPoint Server 2012 Premium com Windows MultiPoint Server 2012 CAL (5 clientes) com Windows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t>Windows MultiPoint Server 2012 CAL</w:t>
            </w:r>
            <w:r>
              <w:fldChar w:fldCharType="begin"/>
            </w:r>
            <w:r>
              <w:instrText xml:space="preserve"> XE "Windows MultiPoint Server 2012 CAL"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p>
        </w:tc>
      </w:tr>
      <w:tr w:rsidR="00D87CDE">
        <w:tc>
          <w:tcPr>
            <w:tcW w:w="4160" w:type="dxa"/>
            <w:tcBorders>
              <w:top w:val="dashed" w:sz="4" w:space="0" w:color="BFBFBF"/>
              <w:left w:val="single" w:sz="9" w:space="0" w:color="FFFFFF"/>
              <w:bottom w:val="none" w:sz="4" w:space="0" w:color="000000"/>
              <w:right w:val="single" w:sz="9" w:space="0" w:color="FFFFFF"/>
            </w:tcBorders>
          </w:tcPr>
          <w:p w:rsidR="00D87CDE" w:rsidRDefault="00AC602F">
            <w:pPr>
              <w:pStyle w:val="ProductList-TableBody"/>
            </w:pPr>
            <w:r>
              <w:t>Windows MultiPoint Server 2012 CAL com Windows Server 2012 CAL</w:t>
            </w:r>
            <w:r>
              <w:fldChar w:fldCharType="begin"/>
            </w:r>
            <w:r>
              <w:instrText xml:space="preserve"> XE "Windows MultiPoint Server 2012 CAL com Windows Server 2012 CAL" </w:instrText>
            </w:r>
            <w:r>
              <w:fldChar w:fldCharType="end"/>
            </w:r>
            <w:r>
              <w:t xml:space="preserve"> (Dispositivo e Utilizador)</w:t>
            </w:r>
          </w:p>
        </w:tc>
        <w:tc>
          <w:tcPr>
            <w:tcW w:w="620" w:type="dxa"/>
            <w:tcBorders>
              <w:top w:val="dashed" w:sz="4" w:space="0" w:color="BFBFBF"/>
              <w:left w:val="single" w:sz="9" w:space="0" w:color="FFFFFF"/>
              <w:bottom w:val="none" w:sz="4" w:space="0" w:color="000000"/>
              <w:right w:val="single" w:sz="9" w:space="0" w:color="FFFFFF"/>
            </w:tcBorders>
          </w:tcPr>
          <w:p w:rsidR="00D87CDE" w:rsidRDefault="00AC602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87CDE" w:rsidRDefault="00AC602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87CDE" w:rsidRDefault="00AC602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87CDE" w:rsidRDefault="00AC60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3"/>
      </w:pPr>
      <w:bookmarkStart w:id="200" w:name="_Sec757"/>
      <w:r>
        <w:t>2. Condições do Produto</w:t>
      </w:r>
      <w:bookmarkEnd w:id="200"/>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(SA):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3"/>
      </w:pPr>
      <w:bookmarkStart w:id="201" w:name="_Sec800"/>
      <w:r>
        <w:t>3. Direitos de Utilização</w:t>
      </w:r>
      <w:bookmarkEnd w:id="201"/>
    </w:p>
    <w:tbl>
      <w:tblPr>
        <w:tblStyle w:val="PURTable"/>
        <w:tblW w:w="0" w:type="dxa"/>
        <w:tblLook w:val="04A0" w:firstRow="1" w:lastRow="0" w:firstColumn="1" w:lastColumn="0" w:noHBand="0" w:noVBand="1"/>
      </w:tblPr>
      <w:tblGrid>
        <w:gridCol w:w="3616"/>
        <w:gridCol w:w="3600"/>
        <w:gridCol w:w="3574"/>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Tecnologias Incluídas: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Windows MultiPoint Server 2012 CAL 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87CDE" w:rsidRDefault="00AC602F">
            <w:pPr>
              <w:pStyle w:val="ProductList-TableBody"/>
            </w:pPr>
            <w:r>
              <w:t xml:space="preserve">Windows MultiPoint Server 2012 CAL e </w:t>
            </w:r>
          </w:p>
          <w:p w:rsidR="00D87CDE" w:rsidRDefault="00AC602F">
            <w:pPr>
              <w:pStyle w:val="ProductList-TableBody"/>
            </w:pPr>
            <w:r>
              <w:t xml:space="preserve">Licença Equivalente de CAL (consulte o </w:t>
            </w:r>
            <w:hyperlink w:anchor="_Sec591">
              <w:r>
                <w:rPr>
                  <w:color w:val="00467F"/>
                  <w:u w:val="single"/>
                </w:rPr>
                <w:t>Apêndice A</w:t>
              </w:r>
            </w:hyperlink>
            <w:r>
              <w:t>)</w:t>
            </w:r>
          </w:p>
        </w:tc>
      </w:tr>
    </w:tbl>
    <w:p w:rsidR="00D87CDE" w:rsidRDefault="00D87CDE">
      <w:pPr>
        <w:pStyle w:val="ProductList-Body"/>
      </w:pPr>
    </w:p>
    <w:p w:rsidR="00D87CDE" w:rsidRDefault="00AC602F">
      <w:pPr>
        <w:pStyle w:val="ProductList-SubClauseHeading"/>
        <w:outlineLvl w:val="5"/>
      </w:pPr>
      <w:r>
        <w:t>3.1.1 Funcionalidade Adicional Associada a CAL para Serviços de Gestão de Direitos do Active Directory do Windows Server 2012</w:t>
      </w:r>
    </w:p>
    <w:p w:rsidR="00D87CDE" w:rsidRDefault="00AC602F">
      <w:pPr>
        <w:pStyle w:val="ProductList-BodyIndented"/>
      </w:pPr>
      <w:r>
        <w:t>Serviços de Gestão de Direitos do Windows Server 2012</w:t>
      </w:r>
    </w:p>
    <w:tbl>
      <w:tblPr>
        <w:tblStyle w:val="PURTable0"/>
        <w:tblW w:w="0" w:type="dxa"/>
        <w:tblLook w:val="04A0" w:firstRow="1" w:lastRow="0" w:firstColumn="1" w:lastColumn="0" w:noHBand="0" w:noVBand="1"/>
      </w:tblPr>
      <w:tblGrid>
        <w:gridCol w:w="3467"/>
        <w:gridCol w:w="3468"/>
        <w:gridCol w:w="3495"/>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87CDE" w:rsidRDefault="00AC602F">
            <w:pPr>
              <w:pStyle w:val="ProductList-TableBody"/>
            </w:pPr>
            <w:r>
              <w:t xml:space="preserve">Licença Equivalente de CAL (consulte o </w:t>
            </w:r>
            <w:hyperlink w:anchor="_Sec591">
              <w:r>
                <w:rPr>
                  <w:color w:val="00467F"/>
                  <w:u w:val="single"/>
                </w:rPr>
                <w:t>Apêndice A</w:t>
              </w:r>
            </w:hyperlink>
            <w:r>
              <w:t>)</w:t>
            </w:r>
          </w:p>
        </w:tc>
      </w:tr>
    </w:tbl>
    <w:p w:rsidR="00D87CDE" w:rsidRDefault="00D87CDE">
      <w:pPr>
        <w:pStyle w:val="ProductList-BodyIndented"/>
      </w:pPr>
    </w:p>
    <w:p w:rsidR="00D87CDE" w:rsidRDefault="00AC602F">
      <w:pPr>
        <w:pStyle w:val="ProductList-ClauseHeading"/>
        <w:outlineLvl w:val="4"/>
      </w:pPr>
      <w:r>
        <w:t>3.2 Executar Instâncias do Software</w:t>
      </w:r>
    </w:p>
    <w:p w:rsidR="00D87CDE" w:rsidRDefault="00AC602F">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D87CDE" w:rsidRDefault="00D87CDE">
      <w:pPr>
        <w:pStyle w:val="ProductList-Body"/>
      </w:pPr>
    </w:p>
    <w:p w:rsidR="00D87CDE" w:rsidRDefault="00AC602F">
      <w:pPr>
        <w:pStyle w:val="ProductList-ClauseHeading"/>
        <w:outlineLvl w:val="4"/>
      </w:pPr>
      <w:r>
        <w:t>3.3 Licenças de Acesso</w:t>
      </w:r>
    </w:p>
    <w:p w:rsidR="00D87CDE" w:rsidRDefault="00AC602F">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D87CDE" w:rsidRDefault="00D87CDE">
      <w:pPr>
        <w:pStyle w:val="ProductList-Body"/>
      </w:pPr>
    </w:p>
    <w:p w:rsidR="00D87CDE" w:rsidRDefault="00AC602F">
      <w:pPr>
        <w:pStyle w:val="ProductList-ClauseHeading"/>
        <w:outlineLvl w:val="4"/>
      </w:pPr>
      <w:r>
        <w:t>3.4 Windows MultiPoint Server 2012 Connector</w:t>
      </w:r>
    </w:p>
    <w:p w:rsidR="00D87CDE" w:rsidRDefault="00AC602F">
      <w:pPr>
        <w:pStyle w:val="ProductList-Body"/>
      </w:pPr>
      <w:r>
        <w:t>O Cliente pode instalar e utilizar o software Windows Server 2012 MultiPoint Connector em qualquer dispositivo licenciado para aceder ao Windows Server 2012</w:t>
      </w:r>
      <w:r>
        <w:fldChar w:fldCharType="begin"/>
      </w:r>
      <w:r>
        <w:instrText xml:space="preserve"> XE "Windows Server 2012" </w:instrText>
      </w:r>
      <w:r>
        <w:fldChar w:fldCharType="end"/>
      </w:r>
      <w:r>
        <w:t>. Poderá utilizar este software apenas para aceder ao software MultiPoint Server. Se aceder ao software de servidor a partir deste dispositivo apenas para utilizar o MultiPoint Dashboard, não necessita de uma CAL MultiPoint Server.</w:t>
      </w:r>
    </w:p>
    <w:p w:rsidR="00D87CDE" w:rsidRDefault="00D87CDE">
      <w:pPr>
        <w:pStyle w:val="ProductList-Body"/>
      </w:pPr>
    </w:p>
    <w:p w:rsidR="00D87CDE" w:rsidRDefault="00AC602F">
      <w:pPr>
        <w:pStyle w:val="ProductList-ClauseHeading"/>
        <w:outlineLvl w:val="4"/>
      </w:pPr>
      <w:r>
        <w:t>3.5 Software Adicional</w:t>
      </w:r>
    </w:p>
    <w:p w:rsidR="00D87CDE" w:rsidRDefault="00AC602F">
      <w:pPr>
        <w:pStyle w:val="ProductList-Body"/>
      </w:pPr>
      <w:r>
        <w:t xml:space="preserve">Para obter uma lista de Software Adicional, consulte </w:t>
      </w:r>
      <w:hyperlink r:id="rId78">
        <w:r>
          <w:rPr>
            <w:color w:val="00467F"/>
            <w:u w:val="single"/>
          </w:rPr>
          <w:t>http://go.microsoft.com/fwlink/?LinkId=245856</w:t>
        </w:r>
      </w:hyperlink>
      <w:r>
        <w:t>.</w:t>
      </w:r>
    </w:p>
    <w:p w:rsidR="00D87CDE" w:rsidRDefault="00AC602F">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203" w:name="_Sec655"/>
      <w:r>
        <w:t>Windows Server</w:t>
      </w:r>
      <w:bookmarkEnd w:id="203"/>
      <w:r>
        <w:fldChar w:fldCharType="begin"/>
      </w:r>
      <w:r>
        <w:instrText xml:space="preserve"> TC "</w:instrText>
      </w:r>
      <w:bookmarkStart w:id="204" w:name="_Toc452110490"/>
      <w:r>
        <w:instrText>Windows Server</w:instrText>
      </w:r>
      <w:bookmarkEnd w:id="204"/>
      <w:r>
        <w:instrText>" \l 3</w:instrText>
      </w:r>
      <w:r>
        <w:fldChar w:fldCharType="end"/>
      </w:r>
    </w:p>
    <w:p w:rsidR="00D87CDE" w:rsidRDefault="00AC602F">
      <w:pPr>
        <w:pStyle w:val="ProductList-Offering1SubSection"/>
        <w:outlineLvl w:val="3"/>
      </w:pPr>
      <w:bookmarkStart w:id="205" w:name="_Sec703"/>
      <w:r>
        <w:t>1. Disponibilidade do Programa</w:t>
      </w:r>
      <w:bookmarkEnd w:id="205"/>
    </w:p>
    <w:tbl>
      <w:tblPr>
        <w:tblStyle w:val="PURTable"/>
        <w:tblW w:w="0" w:type="dxa"/>
        <w:tblLook w:val="04A0" w:firstRow="1" w:lastRow="0" w:firstColumn="1" w:lastColumn="0" w:noHBand="0" w:noVBand="1"/>
      </w:tblPr>
      <w:tblGrid>
        <w:gridCol w:w="4024"/>
        <w:gridCol w:w="615"/>
        <w:gridCol w:w="609"/>
        <w:gridCol w:w="611"/>
        <w:gridCol w:w="606"/>
        <w:gridCol w:w="607"/>
        <w:gridCol w:w="611"/>
        <w:gridCol w:w="615"/>
        <w:gridCol w:w="634"/>
        <w:gridCol w:w="619"/>
        <w:gridCol w:w="612"/>
        <w:gridCol w:w="615"/>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single" w:sz="9" w:space="0" w:color="FFFFFF"/>
              <w:left w:val="single" w:sz="9" w:space="0" w:color="FFFFFF"/>
              <w:bottom w:val="dashed" w:sz="4" w:space="0" w:color="BFBFBF"/>
              <w:right w:val="single" w:sz="9" w:space="0" w:color="FFFFFF"/>
            </w:tcBorders>
          </w:tcPr>
          <w:p w:rsidR="00D87CDE" w:rsidRDefault="00AC602F">
            <w:pPr>
              <w:pStyle w:val="ProductList-TableBody"/>
            </w:pPr>
            <w:r>
              <w:rPr>
                <w:color w:val="000000"/>
              </w:rP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87CDE" w:rsidRDefault="00AC602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t>CAL de Serviços de Ambiente de Trabalho Remoto do Windows Server 2012</w:t>
            </w:r>
            <w:r>
              <w:fldChar w:fldCharType="begin"/>
            </w:r>
            <w:r>
              <w:instrText xml:space="preserve"> XE "CAL de Serviços de Ambiente de Trabalho Remoto do Windows Server 2012"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D87CDE" w:rsidRDefault="00AC602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rPr>
                <w:color w:val="000000"/>
              </w:rPr>
              <w:t>External Connector para os Serviços de Ambiente de Trabalho Remoto do Windows Server 2012</w:t>
            </w:r>
            <w:r>
              <w:fldChar w:fldCharType="begin"/>
            </w:r>
            <w:r>
              <w:instrText xml:space="preserve"> XE "External Connector para os Serviços de Ambiente de Trabalho Remoto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rPr>
                <w:color w:val="000000"/>
              </w:rPr>
              <w:t>External Connectors para os Serviços de Gestão de Direitos do Active Directory do Windows Server 2012</w:t>
            </w:r>
            <w:r>
              <w:fldChar w:fldCharType="begin"/>
            </w:r>
            <w:r>
              <w:instrText xml:space="preserve"> XE "External Connectors para os Serviços de Gestão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87CDE" w:rsidRDefault="00AC602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4160" w:type="dxa"/>
            <w:tcBorders>
              <w:top w:val="dashed" w:sz="4" w:space="0" w:color="BFBFBF"/>
              <w:left w:val="single" w:sz="9" w:space="0" w:color="FFFFFF"/>
              <w:bottom w:val="none" w:sz="4" w:space="0" w:color="000000"/>
              <w:right w:val="single" w:sz="9" w:space="0" w:color="FFFFFF"/>
            </w:tcBorders>
          </w:tcPr>
          <w:p w:rsidR="00D87CDE" w:rsidRDefault="00AC602F">
            <w:pPr>
              <w:pStyle w:val="ProductList-TableBody"/>
            </w:pPr>
            <w:r>
              <w:rPr>
                <w:color w:val="000000"/>
              </w:rPr>
              <w:t>External Connector para Windows Server 2012</w:t>
            </w:r>
            <w:r>
              <w:fldChar w:fldCharType="begin"/>
            </w:r>
            <w:r>
              <w:instrText xml:space="preserve"> XE "External Connector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87CDE" w:rsidRDefault="00AC602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87CDE" w:rsidRDefault="00AC602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87CDE" w:rsidRDefault="00AC602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87CDE" w:rsidRDefault="00AC602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3"/>
      </w:pPr>
      <w:bookmarkStart w:id="206" w:name="_Sec758"/>
      <w:r>
        <w:t>2. Condições do Produto</w:t>
      </w:r>
      <w:bookmarkEnd w:id="206"/>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(SA):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3"/>
      </w:pPr>
      <w:bookmarkStart w:id="207" w:name="_Sec807"/>
      <w:r>
        <w:t>3. Direitos de Utilização</w:t>
      </w:r>
      <w:bookmarkEnd w:id="207"/>
    </w:p>
    <w:tbl>
      <w:tblPr>
        <w:tblStyle w:val="PURTable"/>
        <w:tblW w:w="0" w:type="dxa"/>
        <w:tblLook w:val="04A0" w:firstRow="1" w:lastRow="0" w:firstColumn="1" w:lastColumn="0" w:noHBand="0" w:noVBand="1"/>
      </w:tblPr>
      <w:tblGrid>
        <w:gridCol w:w="3620"/>
        <w:gridCol w:w="3598"/>
        <w:gridCol w:w="3572"/>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Tecnologias Incluídas: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87CDE" w:rsidRDefault="00AC602F">
            <w:pPr>
              <w:pStyle w:val="ProductList-TableBody"/>
            </w:pPr>
            <w:r>
              <w:t xml:space="preserve">Licença Equivalente de CAL (consulte o </w:t>
            </w:r>
            <w:hyperlink w:anchor="_Sec591">
              <w:r>
                <w:rPr>
                  <w:color w:val="00467F"/>
                  <w:u w:val="single"/>
                </w:rPr>
                <w:t>Apêndice A</w:t>
              </w:r>
            </w:hyperlink>
            <w:r>
              <w:t>)</w:t>
            </w:r>
          </w:p>
        </w:tc>
      </w:tr>
    </w:tbl>
    <w:p w:rsidR="00D87CDE" w:rsidRDefault="00D87CDE">
      <w:pPr>
        <w:pStyle w:val="ProductList-Body"/>
      </w:pPr>
    </w:p>
    <w:p w:rsidR="00D87CDE" w:rsidRDefault="00AC602F">
      <w:pPr>
        <w:pStyle w:val="ProductList-SubClauseHeading"/>
        <w:outlineLvl w:val="5"/>
      </w:pPr>
      <w:r>
        <w:t>3.1.1 Funcionalidade Adicional Associada a CAL de Serviços de Ambiente de Trabalho Remoto do Windows Server 2012</w:t>
      </w:r>
    </w:p>
    <w:p w:rsidR="00D87CDE" w:rsidRDefault="00AC602F">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472"/>
        <w:gridCol w:w="3479"/>
        <w:gridCol w:w="347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CAL de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D87CDE" w:rsidRDefault="00AC602F">
            <w:pPr>
              <w:pStyle w:val="ProductList-TableBody"/>
            </w:pPr>
            <w:r>
              <w:t>SL de Utilizador dos Serviços de Ambiente de Trabalho Remoto do Windows Server 2012</w:t>
            </w:r>
          </w:p>
        </w:tc>
      </w:tr>
    </w:tbl>
    <w:p w:rsidR="00D87CDE" w:rsidRDefault="00AC602F">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rsidR="00D87CDE" w:rsidRDefault="00D87CDE">
      <w:pPr>
        <w:pStyle w:val="ProductList-BodyIndented"/>
      </w:pPr>
    </w:p>
    <w:p w:rsidR="00D87CDE" w:rsidRDefault="00AC602F">
      <w:pPr>
        <w:pStyle w:val="ProductList-SubClauseHeading"/>
        <w:outlineLvl w:val="5"/>
      </w:pPr>
      <w:r>
        <w:t>3.1.2 Funcionalidade Adicional Associada a CAL para Serviços de Gestão de Direitos do Windows Server 2012</w:t>
      </w:r>
    </w:p>
    <w:p w:rsidR="00D87CDE" w:rsidRDefault="00AC602F">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444"/>
        <w:gridCol w:w="3493"/>
        <w:gridCol w:w="3493"/>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87CDE" w:rsidRDefault="00AC602F">
            <w:pPr>
              <w:pStyle w:val="ProductList-TableBody"/>
            </w:pPr>
            <w:r>
              <w:t>CAL para Serviços de Gestão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D87CDE" w:rsidRDefault="00AC602F">
            <w:pPr>
              <w:pStyle w:val="ProductList-TableBody"/>
            </w:pPr>
            <w:r>
              <w:t>SL de Utilizador do Azure Rights Management Premium</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CDE" w:rsidRDefault="00AC602F">
            <w:pPr>
              <w:pStyle w:val="ProductList-TableBody"/>
            </w:pPr>
            <w:r>
              <w:t>SL de Utilizador do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D87CDE" w:rsidRDefault="00AC602F">
            <w:pPr>
              <w:pStyle w:val="ProductList-TableBody"/>
            </w:pPr>
            <w:r>
              <w:t xml:space="preserve">Licença Equivalente de CAL (consulte o </w:t>
            </w:r>
            <w:hyperlink w:anchor="_Sec591">
              <w:r>
                <w:rPr>
                  <w:color w:val="00467F"/>
                  <w:u w:val="single"/>
                </w:rPr>
                <w:t>Apêndice A</w:t>
              </w:r>
            </w:hyperlink>
            <w:r>
              <w:t>)</w:t>
            </w:r>
          </w:p>
        </w:tc>
      </w:tr>
    </w:tbl>
    <w:p w:rsidR="00D87CDE" w:rsidRDefault="00D87CDE">
      <w:pPr>
        <w:pStyle w:val="ProductList-BodyIndented"/>
      </w:pPr>
    </w:p>
    <w:p w:rsidR="00D87CDE" w:rsidRDefault="00AC602F">
      <w:pPr>
        <w:pStyle w:val="ProductList-SubClauseHeading"/>
        <w:outlineLvl w:val="5"/>
      </w:pPr>
      <w:r>
        <w:t>3.1.3 Funcionalidade Adicional Associada a CAL de Utilizador do Microsoft Identity Manager</w:t>
      </w:r>
    </w:p>
    <w:p w:rsidR="00D87CDE" w:rsidRDefault="00AC602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51"/>
        <w:gridCol w:w="3480"/>
        <w:gridCol w:w="349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87CDE" w:rsidRDefault="00AC602F">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87CDE" w:rsidRDefault="00AC602F">
            <w:pPr>
              <w:pStyle w:val="ProductList-TableBody"/>
            </w:pPr>
            <w:r>
              <w:t>SL de Utilizador do Azure Rights Management Premium</w:t>
            </w:r>
          </w:p>
        </w:tc>
      </w:tr>
      <w:tr w:rsidR="00D87C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CDE" w:rsidRDefault="00D87C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CDE" w:rsidRDefault="00AC602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AC602F">
      <w:pPr>
        <w:pStyle w:val="ProductList-BodyIndented"/>
      </w:pPr>
      <w:r>
        <w:t xml:space="preserve">*Também necessária para qualquer pessoa para quem o software emita ou efetue a gestão de informações de identidade. </w:t>
      </w:r>
    </w:p>
    <w:p w:rsidR="00D87CDE" w:rsidRDefault="00D87CDE">
      <w:pPr>
        <w:pStyle w:val="ProductList-BodyIndented"/>
      </w:pPr>
    </w:p>
    <w:p w:rsidR="00D87CDE" w:rsidRDefault="00AC602F">
      <w:pPr>
        <w:pStyle w:val="ProductList-SubClauseHeading"/>
        <w:outlineLvl w:val="5"/>
      </w:pPr>
      <w:r>
        <w:t>3.1.4 Serviço de Sincronização</w:t>
      </w:r>
    </w:p>
    <w:p w:rsidR="00D87CDE" w:rsidRDefault="00AC602F">
      <w:pPr>
        <w:pStyle w:val="ProductList-BodyIndented"/>
      </w:pPr>
      <w:r>
        <w:t>As CALs do Microsoft Identity Manager 2016 não são necessárias para utilizadores que só utilizem o serviço de sincronização Microsoft Identity Manager.</w:t>
      </w:r>
    </w:p>
    <w:p w:rsidR="00D87CDE" w:rsidRDefault="00D87CDE">
      <w:pPr>
        <w:pStyle w:val="ProductList-BodyIndented"/>
      </w:pPr>
    </w:p>
    <w:p w:rsidR="00D87CDE" w:rsidRDefault="00AC602F">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External Connector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
      </w:pPr>
    </w:p>
    <w:p w:rsidR="00D87CDE" w:rsidRDefault="00AC602F">
      <w:pPr>
        <w:pStyle w:val="ProductList-SubClauseHeading"/>
        <w:outlineLvl w:val="5"/>
      </w:pPr>
      <w:r>
        <w:t>3.2.1 Funcionalidade Adicional Associada a Licença External Connector de Serviços de Ambiente de Trabalho Remoto do Windows Server 2012</w:t>
      </w:r>
    </w:p>
    <w:p w:rsidR="00D87CDE" w:rsidRDefault="00AC602F">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03"/>
        <w:gridCol w:w="3517"/>
        <w:gridCol w:w="341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External Connector para os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AC602F">
      <w:pPr>
        <w:pStyle w:val="ProductList-BodyIndented"/>
      </w:pPr>
      <w:r>
        <w:rPr>
          <w:i/>
        </w:rPr>
        <w:t>*Também necessária para a utilização do Windows Server para fins de alojamento de uma interface gráfica de utilizador (utilizando a funcionalidade Serviços de Ambiente de Trabalho Remoto do Windows Server 2012 R2 ou outra tecnologia).</w:t>
      </w:r>
    </w:p>
    <w:p w:rsidR="00D87CDE" w:rsidRDefault="00D87CDE">
      <w:pPr>
        <w:pStyle w:val="ProductList-BodyIndented"/>
      </w:pPr>
    </w:p>
    <w:p w:rsidR="00D87CDE" w:rsidRDefault="00AC602F">
      <w:pPr>
        <w:pStyle w:val="ProductList-SubClauseHeading"/>
        <w:outlineLvl w:val="5"/>
      </w:pPr>
      <w:r>
        <w:t>3.2.2 Funcionalidade Adicional Associada a Licença External Connector de Serviços de Gestão de Direitos do Windows Server 2012</w:t>
      </w:r>
    </w:p>
    <w:p w:rsidR="00D87CDE" w:rsidRDefault="00AC602F">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03"/>
        <w:gridCol w:w="3517"/>
        <w:gridCol w:w="341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External Connector para os Serviços de Gestão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Indented"/>
      </w:pPr>
    </w:p>
    <w:p w:rsidR="00D87CDE" w:rsidRDefault="00AC602F">
      <w:pPr>
        <w:pStyle w:val="ProductList-SubClauseHeading"/>
        <w:outlineLvl w:val="5"/>
      </w:pPr>
      <w:r>
        <w:t>3.2.3 Funcionalidade Adicional Associada a Licença External Connector do Microsoft Identity Manager</w:t>
      </w:r>
    </w:p>
    <w:p w:rsidR="00D87CDE" w:rsidRDefault="00AC602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87CDE" w:rsidRDefault="00AC602F">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87CDE" w:rsidRDefault="00D87CDE">
            <w:pPr>
              <w:pStyle w:val="ProductList-TableBody"/>
            </w:pPr>
          </w:p>
        </w:tc>
      </w:tr>
    </w:tbl>
    <w:p w:rsidR="00D87CDE" w:rsidRDefault="00AC602F">
      <w:pPr>
        <w:pStyle w:val="ProductList-BodyIndented"/>
      </w:pPr>
      <w:r>
        <w:rPr>
          <w:i/>
        </w:rPr>
        <w:t>*Também necessária para qualquer Utilizador Externo para quem o software emita ou efetue a gestão de informações de identidade (na ausência de CALs do Microsoft Identity Manager 2016).</w:t>
      </w:r>
    </w:p>
    <w:p w:rsidR="00D87CDE" w:rsidRDefault="00D87CDE">
      <w:pPr>
        <w:pStyle w:val="ProductList-BodyIndented"/>
      </w:pPr>
    </w:p>
    <w:p w:rsidR="00D87CDE" w:rsidRDefault="00AC602F">
      <w:pPr>
        <w:pStyle w:val="ProductList-ClauseHeading"/>
        <w:outlineLvl w:val="4"/>
      </w:pPr>
      <w:r>
        <w:t>3.3 Termos Adicionais para Windows Server 2012 R2 Essentials</w:t>
      </w:r>
    </w:p>
    <w:p w:rsidR="00D87CDE" w:rsidRDefault="00AC602F">
      <w:pPr>
        <w:pStyle w:val="ProductList-SubClauseHeading"/>
        <w:outlineLvl w:val="5"/>
      </w:pPr>
      <w:r>
        <w:t>3.3.1 Limitações na Utilização</w:t>
      </w:r>
    </w:p>
    <w:p w:rsidR="00D87CDE" w:rsidRDefault="00AC602F" w:rsidP="00AC602F">
      <w:pPr>
        <w:pStyle w:val="ProductList-Bullet"/>
        <w:numPr>
          <w:ilvl w:val="1"/>
          <w:numId w:val="30"/>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D87CDE" w:rsidRDefault="00AC602F" w:rsidP="00AC602F">
      <w:pPr>
        <w:pStyle w:val="ProductList-Bullet"/>
        <w:numPr>
          <w:ilvl w:val="1"/>
          <w:numId w:val="30"/>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servidor licenciado. Essa Instância não tem de cumprir os requisitos descritos de (I) a (iv) acima.</w:t>
      </w:r>
    </w:p>
    <w:p w:rsidR="00D87CDE" w:rsidRDefault="00D87CDE">
      <w:pPr>
        <w:pStyle w:val="ProductList-BodyIndented"/>
      </w:pPr>
    </w:p>
    <w:p w:rsidR="00D87CDE" w:rsidRDefault="00AC602F">
      <w:pPr>
        <w:pStyle w:val="ProductList-SubClauseHeading"/>
        <w:outlineLvl w:val="5"/>
      </w:pPr>
      <w:r>
        <w:t>3.3.2 Utilizar o Software de Servidor</w:t>
      </w:r>
    </w:p>
    <w:p w:rsidR="00D87CDE" w:rsidRDefault="00AC602F">
      <w:pPr>
        <w:pStyle w:val="ProductList-BodyIndented"/>
      </w:pPr>
      <w:r>
        <w:t>Uma Conta de Utilizador é um nome de utilizador exclusivo com a respetiva palavra-passe associada criada através da Consola do Windows Server 2012 R2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D87CDE" w:rsidRDefault="00D87CDE">
      <w:pPr>
        <w:pStyle w:val="ProductList-BodyIndented"/>
      </w:pPr>
    </w:p>
    <w:p w:rsidR="00D87CDE" w:rsidRDefault="00AC602F">
      <w:pPr>
        <w:pStyle w:val="ProductList-SubClauseHeading"/>
        <w:outlineLvl w:val="5"/>
      </w:pPr>
      <w:r>
        <w:t>3.3.3 Windows Server 2012 R2 Essentials Connector</w:t>
      </w:r>
    </w:p>
    <w:p w:rsidR="00D87CDE" w:rsidRDefault="00AC602F">
      <w:pPr>
        <w:pStyle w:val="ProductList-BodyIndented"/>
      </w:pPr>
      <w:r>
        <w:t>O Cliente pode instalar e utilizar o software Windows Server 2012 R2 Essentials Connector num máximo de 50 dispositivos num determinado momento. Poderá utilizar este software apenas com o software de servidor.</w:t>
      </w:r>
    </w:p>
    <w:p w:rsidR="00D87CDE" w:rsidRDefault="00D87CDE">
      <w:pPr>
        <w:pStyle w:val="ProductList-BodyIndented"/>
      </w:pPr>
    </w:p>
    <w:p w:rsidR="00D87CDE" w:rsidRDefault="00AC602F">
      <w:pPr>
        <w:pStyle w:val="ProductList-SubClauseHeading"/>
        <w:outlineLvl w:val="5"/>
      </w:pPr>
      <w:r>
        <w:t>3.3.4 Acesso aos Serviços de Gestão de Direitos do Active Directory do Windows Server 2012 R2</w:t>
      </w:r>
    </w:p>
    <w:p w:rsidR="00D87CDE" w:rsidRDefault="00AC602F">
      <w:pPr>
        <w:pStyle w:val="ProductList-BodyIndented"/>
      </w:pPr>
      <w:r>
        <w:t>O Cliente tem de adquirir uma CAL dos Serviços de Gestão de Direitos do Active Directory do Windows Server 2012 R2 para cada Conta de Utilizador a partir da qual um utilizador aceda direta ou indiretamente à funcionalidade dos Serviços de Gestão de Direitos do Active Directory do Windows Server 2012 R2.</w:t>
      </w:r>
    </w:p>
    <w:p w:rsidR="00D87CDE" w:rsidRDefault="00D87CDE">
      <w:pPr>
        <w:pStyle w:val="ProductList-BodyIndented"/>
      </w:pPr>
    </w:p>
    <w:p w:rsidR="00D87CDE" w:rsidRDefault="00AC602F">
      <w:pPr>
        <w:pStyle w:val="ProductList-ClauseHeading"/>
        <w:outlineLvl w:val="4"/>
      </w:pPr>
      <w:r>
        <w:t>3.4 Software Adicional para Windows Server 2012</w:t>
      </w:r>
    </w:p>
    <w:tbl>
      <w:tblPr>
        <w:tblStyle w:val="PURTable"/>
        <w:tblW w:w="0" w:type="dxa"/>
        <w:tblLook w:val="04A0" w:firstRow="1" w:lastRow="0" w:firstColumn="1" w:lastColumn="0" w:noHBand="0" w:noVBand="1"/>
      </w:tblPr>
      <w:tblGrid>
        <w:gridCol w:w="3620"/>
        <w:gridCol w:w="3649"/>
        <w:gridCol w:w="3521"/>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
      </w:pPr>
    </w:p>
    <w:p w:rsidR="00D87CDE" w:rsidRDefault="00AC602F">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as </w:t>
            </w:r>
            <w:hyperlink r:id="rId79">
              <w:r>
                <w:rPr>
                  <w:color w:val="00467F"/>
                  <w:u w:val="single"/>
                </w:rPr>
                <w:t>Listas de Produto de Outubro de 2013 e de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 xml:space="preserve">Junho de 2015 – Lista de Produto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87CDE" w:rsidRDefault="00D87CDE">
            <w:pPr>
              <w:pStyle w:val="ProductList-TableBody"/>
            </w:pPr>
          </w:p>
        </w:tc>
      </w:tr>
    </w:tbl>
    <w:p w:rsidR="00D87CDE" w:rsidRDefault="00AC602F">
      <w:pPr>
        <w:pStyle w:val="ProductList-ClauseHeading"/>
        <w:outlineLvl w:val="4"/>
      </w:pPr>
      <w:r>
        <w:t>4.1 CAL de Utilizador dos Serviços de Ambiente de Trabalho Remoto (“RDS”) – Direitos Expandidos</w:t>
      </w:r>
    </w:p>
    <w:p w:rsidR="00D87CDE" w:rsidRDefault="00AC602F">
      <w:pPr>
        <w:pStyle w:val="ProductList-Body"/>
      </w:pPr>
      <w:r>
        <w:t xml:space="preserve">O Cliente poderá utilizar as respetivas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D87CDE" w:rsidRDefault="00D87CDE">
      <w:pPr>
        <w:pStyle w:val="ProductList-Body"/>
      </w:pPr>
    </w:p>
    <w:p w:rsidR="00D87CDE" w:rsidRDefault="00AC602F">
      <w:pPr>
        <w:pStyle w:val="ProductList-ClauseHeading"/>
        <w:outlineLvl w:val="4"/>
      </w:pPr>
      <w:r>
        <w:t>4.2 Microsoft Azure Hybrid Use Benefit</w:t>
      </w:r>
    </w:p>
    <w:p w:rsidR="00D87CDE" w:rsidRDefault="00AC602F">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D87CDE" w:rsidRDefault="00D87CDE">
      <w:pPr>
        <w:pStyle w:val="PURBreadcrumb"/>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10491"/>
      <w:r>
        <w:instrText>Windows Small Business Server</w:instrText>
      </w:r>
      <w:bookmarkEnd w:id="210"/>
      <w:r>
        <w:instrText>" \l 3</w:instrText>
      </w:r>
      <w:r>
        <w:fldChar w:fldCharType="end"/>
      </w:r>
    </w:p>
    <w:p w:rsidR="00D87CDE" w:rsidRDefault="00AC602F">
      <w:pPr>
        <w:pStyle w:val="ProductList-Offering1SubSection"/>
        <w:outlineLvl w:val="3"/>
      </w:pPr>
      <w:bookmarkStart w:id="211" w:name="_Sec704"/>
      <w:r>
        <w:t>1. Disponibilidade do Programa</w:t>
      </w:r>
      <w:bookmarkEnd w:id="211"/>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D87C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87CDE" w:rsidRDefault="00AC602F">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160" w:type="dxa"/>
            <w:tcBorders>
              <w:top w:val="none" w:sz="4" w:space="0" w:color="FFFFFF"/>
              <w:left w:val="none" w:sz="4" w:space="0" w:color="FFFFFF"/>
              <w:bottom w:val="dashed" w:sz="4" w:space="0" w:color="BFBFBF"/>
              <w:right w:val="none" w:sz="4" w:space="0" w:color="FFFFFF"/>
            </w:tcBorders>
          </w:tcPr>
          <w:p w:rsidR="00D87CDE" w:rsidRDefault="00AC602F">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cliente) (Dispositivo e Utilizador)</w:t>
            </w:r>
          </w:p>
        </w:tc>
        <w:tc>
          <w:tcPr>
            <w:tcW w:w="620" w:type="dxa"/>
            <w:tcBorders>
              <w:top w:val="none" w:sz="4" w:space="0" w:color="FFFFFF"/>
              <w:left w:val="none" w:sz="4" w:space="0" w:color="FFFFFF"/>
              <w:bottom w:val="dashed" w:sz="4" w:space="0" w:color="BFBFBF"/>
              <w:right w:val="none" w:sz="4" w:space="0" w:color="FFFFFF"/>
            </w:tcBorders>
          </w:tcPr>
          <w:p w:rsidR="00D87CDE" w:rsidRDefault="00AC602F">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87CDE" w:rsidRDefault="00AC602F">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87CDE" w:rsidRDefault="00D87CD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87CDE" w:rsidRDefault="00D87C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pPr>
            <w:r>
              <w:rPr>
                <w:color w:val="000000"/>
              </w:rPr>
              <w:t>Windows Small Business Server 2011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87CDE" w:rsidRDefault="00D87C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87CDE" w:rsidRDefault="00D87C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pPr>
            <w:r>
              <w:rPr>
                <w:color w:val="000000"/>
              </w:rPr>
              <w:t>Windows Small Business Server 2011 CAL Suite (20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87CDE" w:rsidRDefault="00D87C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87CDE" w:rsidRDefault="00D87C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cliente) (Dispositivo e Utilizador)</w:t>
            </w:r>
          </w:p>
        </w:tc>
        <w:tc>
          <w:tcPr>
            <w:tcW w:w="62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87CDE" w:rsidRDefault="00D87C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87CDE" w:rsidRDefault="00D87C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pPr>
            <w:r>
              <w:rPr>
                <w:color w:val="000000"/>
              </w:rPr>
              <w:t>Windows Small Business Server 2011 Premium Add-on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87CDE" w:rsidRDefault="00AC602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87CDE" w:rsidRDefault="00D87C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87CDE" w:rsidRDefault="00D87C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r>
      <w:tr w:rsidR="00D87CDE">
        <w:tc>
          <w:tcPr>
            <w:tcW w:w="4160" w:type="dxa"/>
            <w:tcBorders>
              <w:top w:val="dashed" w:sz="4" w:space="0" w:color="BFBFBF"/>
              <w:left w:val="none" w:sz="4" w:space="0" w:color="FFFFFF"/>
              <w:bottom w:val="none" w:sz="4" w:space="0" w:color="000000"/>
              <w:right w:val="none" w:sz="4" w:space="0" w:color="FFFFFF"/>
            </w:tcBorders>
          </w:tcPr>
          <w:p w:rsidR="00D87CDE" w:rsidRDefault="00AC602F">
            <w:pPr>
              <w:pStyle w:val="ProductList-TableBody"/>
            </w:pPr>
            <w:r>
              <w:rPr>
                <w:color w:val="000000"/>
              </w:rPr>
              <w:t>Windows Small Business Server 2011 Premium Add-on CAL Suite (20 clientes) (Dispositivo e Utilizador)</w:t>
            </w:r>
          </w:p>
        </w:tc>
        <w:tc>
          <w:tcPr>
            <w:tcW w:w="620" w:type="dxa"/>
            <w:tcBorders>
              <w:top w:val="dashed" w:sz="4" w:space="0" w:color="BFBFBF"/>
              <w:left w:val="none" w:sz="4" w:space="0" w:color="FFFFFF"/>
              <w:bottom w:val="none" w:sz="4" w:space="0" w:color="000000"/>
              <w:right w:val="none" w:sz="4" w:space="0" w:color="FFFFFF"/>
            </w:tcBorders>
          </w:tcPr>
          <w:p w:rsidR="00D87CDE" w:rsidRDefault="00AC602F">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87CDE" w:rsidRDefault="00AC602F">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87CDE" w:rsidRDefault="00D87CD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87CDE" w:rsidRDefault="00D87C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212" w:name="_Sec759"/>
      <w:r>
        <w:t>2. Condições do Produto</w:t>
      </w:r>
      <w:bookmarkEnd w:id="212"/>
    </w:p>
    <w:tbl>
      <w:tblPr>
        <w:tblStyle w:val="PURTable"/>
        <w:tblW w:w="0" w:type="dxa"/>
        <w:tblLook w:val="04A0" w:firstRow="1" w:lastRow="0" w:firstColumn="1" w:lastColumn="0" w:noHBand="0" w:noVBand="1"/>
      </w:tblPr>
      <w:tblGrid>
        <w:gridCol w:w="3604"/>
        <w:gridCol w:w="3597"/>
        <w:gridCol w:w="358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Edições Anteriores: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(SA):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3"/>
      </w:pPr>
      <w:bookmarkStart w:id="213" w:name="_Sec808"/>
      <w:r>
        <w:t>3. Direitos de Utilização</w:t>
      </w:r>
      <w:bookmarkEnd w:id="213"/>
    </w:p>
    <w:tbl>
      <w:tblPr>
        <w:tblStyle w:val="PURTable"/>
        <w:tblW w:w="0" w:type="dxa"/>
        <w:tblLook w:val="04A0" w:firstRow="1" w:lastRow="0" w:firstColumn="1" w:lastColumn="0" w:noHBand="0" w:noVBand="1"/>
      </w:tblPr>
      <w:tblGrid>
        <w:gridCol w:w="3610"/>
        <w:gridCol w:w="3603"/>
        <w:gridCol w:w="357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Software Adicional: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Tecnologias Incluídas: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AC602F">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99"/>
        <w:gridCol w:w="3611"/>
        <w:gridCol w:w="358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Ativação Pós-falha: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Roaming: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D87CDE">
      <w:pPr>
        <w:sectPr w:rsidR="00D87CDE">
          <w:headerReference w:type="default" r:id="rId82"/>
          <w:footerReference w:type="default" r:id="rId83"/>
          <w:type w:val="continuous"/>
          <w:pgSz w:w="12240" w:h="15840" w:code="1"/>
          <w:pgMar w:top="1170" w:right="720" w:bottom="720" w:left="720" w:header="432" w:footer="288" w:gutter="0"/>
          <w:cols w:space="360"/>
        </w:sectPr>
      </w:pPr>
    </w:p>
    <w:p w:rsidR="00D87CDE" w:rsidRDefault="00AC602F">
      <w:pPr>
        <w:pStyle w:val="ProductList-SectionHeading"/>
        <w:pageBreakBefore/>
        <w:outlineLvl w:val="0"/>
      </w:pPr>
      <w:bookmarkStart w:id="215" w:name="_Sec548"/>
      <w:bookmarkEnd w:id="33"/>
      <w:r>
        <w:t>Serviços Online</w:t>
      </w:r>
      <w:r>
        <w:fldChar w:fldCharType="begin"/>
      </w:r>
      <w:r>
        <w:instrText xml:space="preserve"> TC "</w:instrText>
      </w:r>
      <w:bookmarkStart w:id="216" w:name="_Toc452110492"/>
      <w:r>
        <w:instrText>Serviços Online</w:instrText>
      </w:r>
      <w:bookmarkEnd w:id="216"/>
      <w:r>
        <w:instrText>" \l 1</w:instrText>
      </w:r>
      <w:r>
        <w:fldChar w:fldCharType="end"/>
      </w:r>
    </w:p>
    <w:p w:rsidR="00D87CDE" w:rsidRDefault="00AC602F">
      <w:pPr>
        <w:pStyle w:val="ProductList-Body"/>
      </w:pPr>
      <w:r>
        <w:t xml:space="preserve">A aquisição e utilização por parte do Cliente dos Serviços Online da Microsoft são regidas pelos Termos de Produto e pelos Termos de Serviços Online (OST) da Microsoft localizados em </w:t>
      </w:r>
      <w:hyperlink r:id="rId84">
        <w:r>
          <w:rPr>
            <w:color w:val="00467F"/>
            <w:u w:val="single"/>
          </w:rPr>
          <w:t>http://go.microsoft.com/?linkid=9840733</w:t>
        </w:r>
      </w:hyperlink>
      <w:r>
        <w:t xml:space="preserve"> e incorporados no presente documento por referência.</w:t>
      </w:r>
    </w:p>
    <w:p w:rsidR="00D87CDE" w:rsidRDefault="00AC602F">
      <w:pPr>
        <w:pStyle w:val="ProductList-Offering1Heading"/>
        <w:outlineLvl w:val="1"/>
      </w:pPr>
      <w:bookmarkStart w:id="217" w:name="_Sec620"/>
      <w:r>
        <w:t>Disponibilidade Regional dos Serviços Online</w:t>
      </w:r>
      <w:bookmarkEnd w:id="217"/>
      <w:r>
        <w:fldChar w:fldCharType="begin"/>
      </w:r>
      <w:r>
        <w:instrText xml:space="preserve"> TC "</w:instrText>
      </w:r>
      <w:bookmarkStart w:id="218" w:name="_Toc452110493"/>
      <w:r>
        <w:instrText>Disponibilidade Regional dos Serviços Online</w:instrText>
      </w:r>
      <w:bookmarkEnd w:id="218"/>
      <w:r>
        <w:instrText>" \l 2</w:instrText>
      </w:r>
      <w:r>
        <w:fldChar w:fldCharType="end"/>
      </w:r>
    </w:p>
    <w:p w:rsidR="00D87CDE" w:rsidRDefault="00AC602F">
      <w:pPr>
        <w:pStyle w:val="ProductList-Body"/>
      </w:pPr>
      <w:r>
        <w:t xml:space="preserve">Visite </w:t>
      </w:r>
      <w:hyperlink r:id="rId85" w:anchor="international">
        <w:r>
          <w:rPr>
            <w:color w:val="00467F"/>
            <w:u w:val="single"/>
          </w:rPr>
          <w:t>http://www.microsoft.com/online/faq.aspx#international</w:t>
        </w:r>
      </w:hyperlink>
      <w:r>
        <w:t xml:space="preserve"> para obter uma lista de países e regiões onde os Serviços Online estão disponíveis.</w:t>
      </w:r>
    </w:p>
    <w:p w:rsidR="00D87CDE" w:rsidRDefault="00AC602F">
      <w:pPr>
        <w:pStyle w:val="ProductList-Offering1Heading"/>
        <w:outlineLvl w:val="1"/>
      </w:pPr>
      <w:bookmarkStart w:id="219" w:name="_Sec621"/>
      <w:r>
        <w:t>Regras de Aquisição de Serviços Online</w:t>
      </w:r>
      <w:bookmarkEnd w:id="219"/>
      <w:r>
        <w:fldChar w:fldCharType="begin"/>
      </w:r>
      <w:r>
        <w:instrText xml:space="preserve"> TC "</w:instrText>
      </w:r>
      <w:bookmarkStart w:id="220" w:name="_Toc452110494"/>
      <w:r>
        <w:instrText>Regras de Aquisição de Serviços Online</w:instrText>
      </w:r>
      <w:bookmarkEnd w:id="220"/>
      <w:r>
        <w:instrText>" \l 2</w:instrText>
      </w:r>
      <w:r>
        <w:fldChar w:fldCharType="end"/>
      </w:r>
    </w:p>
    <w:p w:rsidR="00D87CDE" w:rsidRDefault="00AC602F">
      <w:pPr>
        <w:pStyle w:val="ProductList-Body"/>
      </w:pPr>
      <w:r>
        <w:t>As regras de aquisição seguintes aplicam-se à aquisição de Serviços Online:</w:t>
      </w:r>
    </w:p>
    <w:p w:rsidR="00D87CDE" w:rsidRDefault="00AC602F" w:rsidP="00AC602F">
      <w:pPr>
        <w:pStyle w:val="ProductList-Bullet"/>
        <w:numPr>
          <w:ilvl w:val="0"/>
          <w:numId w:val="31"/>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D87CDE" w:rsidRDefault="00AC602F" w:rsidP="00AC602F">
      <w:pPr>
        <w:pStyle w:val="ProductList-Bullet"/>
        <w:numPr>
          <w:ilvl w:val="0"/>
          <w:numId w:val="31"/>
        </w:numPr>
      </w:pPr>
      <w:r>
        <w:t>Se o Cliente efetuar aquisições adicionais de um Serviço Online, o fim do período de subscrição da aquisição adicional tem de alinhar com o período de subscrição existente do Cliente para o mesmo Serviço Online.</w:t>
      </w:r>
    </w:p>
    <w:p w:rsidR="00D87CDE" w:rsidRDefault="00AC602F" w:rsidP="00AC602F">
      <w:pPr>
        <w:pStyle w:val="ProductList-Bullet"/>
        <w:numPr>
          <w:ilvl w:val="0"/>
          <w:numId w:val="31"/>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D87CDE" w:rsidRDefault="00AC602F" w:rsidP="00AC602F">
      <w:pPr>
        <w:pStyle w:val="ProductList-Bullet"/>
        <w:numPr>
          <w:ilvl w:val="0"/>
          <w:numId w:val="31"/>
        </w:numPr>
      </w:pPr>
      <w:r>
        <w:t xml:space="preserve">Os termos do Microsoft Azure são fornecidos na Entrada de Produto do Microsoft Azure. </w:t>
      </w:r>
    </w:p>
    <w:p w:rsidR="00D87CDE" w:rsidRDefault="00AC602F" w:rsidP="00AC602F">
      <w:pPr>
        <w:pStyle w:val="ProductList-Bullet"/>
        <w:numPr>
          <w:ilvl w:val="0"/>
          <w:numId w:val="31"/>
        </w:numPr>
      </w:pPr>
      <w:r>
        <w:t xml:space="preserve">  As SLs de Utilizador de Suplementos e Atualização “Step-up” devem ser adquiridas ao abrigo do mesmo contrato de licenciamento em volume e inscrição (se existir) que a respetiva Licença Qualificável ou SL de Utilizador base. Os Suplementos expiram no que ocorrer primeiro: a expiração da cobertura SA para a Licença Qualificável ou da SL de Utilizador de Suplementos. As Atualizações “Step-up” expiram no que ocorrer primeiro: a expiração da SL de Utilizador da Atualização “Step-up” ou da SL de Utilizador base.</w:t>
      </w:r>
    </w:p>
    <w:p w:rsidR="00D87CDE" w:rsidRDefault="00AC602F">
      <w:pPr>
        <w:pStyle w:val="ProductList-Offering1Heading"/>
        <w:outlineLvl w:val="1"/>
      </w:pPr>
      <w:bookmarkStart w:id="221" w:name="_Sec623"/>
      <w:r>
        <w:t>Renovação dos Serviços Online</w:t>
      </w:r>
      <w:bookmarkEnd w:id="221"/>
      <w:r>
        <w:fldChar w:fldCharType="begin"/>
      </w:r>
      <w:r>
        <w:instrText xml:space="preserve"> TC "</w:instrText>
      </w:r>
      <w:bookmarkStart w:id="222" w:name="_Toc452110495"/>
      <w:r>
        <w:instrText>Renovação dos Serviços Online</w:instrText>
      </w:r>
      <w:bookmarkEnd w:id="222"/>
      <w:r>
        <w:instrText>" \l 2</w:instrText>
      </w:r>
      <w:r>
        <w:fldChar w:fldCharType="end"/>
      </w:r>
    </w:p>
    <w:p w:rsidR="00D87CDE" w:rsidRDefault="00AC602F">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86">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GroupHeading"/>
        <w:outlineLvl w:val="1"/>
      </w:pPr>
      <w:bookmarkStart w:id="223" w:name="_Sec624"/>
      <w:r>
        <w:t>Serviços do Microsoft Azure</w:t>
      </w:r>
      <w:bookmarkEnd w:id="223"/>
      <w:r>
        <w:fldChar w:fldCharType="begin"/>
      </w:r>
      <w:r>
        <w:instrText xml:space="preserve"> TC "</w:instrText>
      </w:r>
      <w:bookmarkStart w:id="224" w:name="_Toc452110496"/>
      <w:r>
        <w:instrText>Serviços do Microsoft Azure</w:instrText>
      </w:r>
      <w:bookmarkEnd w:id="224"/>
      <w:r>
        <w:instrText>" \l 2</w:instrText>
      </w:r>
      <w:r>
        <w:fldChar w:fldCharType="end"/>
      </w:r>
    </w:p>
    <w:p w:rsidR="00D87CDE" w:rsidRDefault="00AC602F">
      <w:pPr>
        <w:pStyle w:val="ProductList-ClauseHeading"/>
        <w:outlineLvl w:val="2"/>
      </w:pPr>
      <w:r>
        <w:t>1. Definições</w:t>
      </w:r>
    </w:p>
    <w:p w:rsidR="00D87CDE" w:rsidRDefault="00AC602F">
      <w:pPr>
        <w:pStyle w:val="ProductList-Body"/>
      </w:pPr>
      <w:r>
        <w:rPr>
          <w:b/>
          <w:color w:val="00188F"/>
        </w:rPr>
        <w:t>Compromisso Anual Atribuído</w:t>
      </w:r>
      <w:r>
        <w:t xml:space="preserve"> significa a parte do Compromisso Monetário atribuído anualmente através do período da Inscrição.</w:t>
      </w:r>
    </w:p>
    <w:p w:rsidR="00D87CDE" w:rsidRDefault="00AC602F">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D87CDE" w:rsidRDefault="00AC602F">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D87CDE" w:rsidRDefault="00AC602F">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nos Termos dos Serviços Online.</w:t>
      </w:r>
    </w:p>
    <w:p w:rsidR="00D87CDE" w:rsidRDefault="00AC602F">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D87CDE" w:rsidRDefault="00D87CDE">
      <w:pPr>
        <w:pStyle w:val="ProductList-Body"/>
      </w:pPr>
    </w:p>
    <w:p w:rsidR="00D87CDE" w:rsidRDefault="00AC602F">
      <w:pPr>
        <w:pStyle w:val="ProductList-ClauseHeading"/>
        <w:outlineLvl w:val="2"/>
      </w:pPr>
      <w:r>
        <w:t>2. Vigência da Subscrição</w:t>
      </w:r>
    </w:p>
    <w:p w:rsidR="00D87CDE" w:rsidRDefault="00AC602F">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D87CDE" w:rsidRDefault="00D87CDE">
      <w:pPr>
        <w:pStyle w:val="ProductList-Body"/>
      </w:pPr>
    </w:p>
    <w:p w:rsidR="00D87CDE" w:rsidRDefault="00AC602F">
      <w:pPr>
        <w:pStyle w:val="ProductList-ClauseHeading"/>
        <w:outlineLvl w:val="2"/>
      </w:pPr>
      <w:r>
        <w:t>3. Aquisição de Serviços</w:t>
      </w:r>
    </w:p>
    <w:p w:rsidR="00D87CDE" w:rsidRDefault="00AC602F">
      <w:pPr>
        <w:pStyle w:val="ProductList-Body"/>
      </w:pPr>
      <w:r>
        <w:t>Os Serviços do Microsoft Azure poderão ser adquiridos através de uma forma ou de uma combinação das formas que se seguem:</w:t>
      </w:r>
    </w:p>
    <w:p w:rsidR="00D87CDE" w:rsidRDefault="00AC602F" w:rsidP="00AC602F">
      <w:pPr>
        <w:pStyle w:val="ProductList-Bullet"/>
        <w:numPr>
          <w:ilvl w:val="0"/>
          <w:numId w:val="32"/>
        </w:numPr>
      </w:pPr>
      <w:r>
        <w:rPr>
          <w:b/>
          <w:color w:val="00188F"/>
        </w:rPr>
        <w:t>Compromisso</w:t>
      </w:r>
      <w:r>
        <w:t>: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multiplicado por doze, dividido pelo número de meses completos entre o momento em que a encomenda adicional foi efetuada e a data de aniversário a seguir à encomenda adicional.</w:t>
      </w:r>
    </w:p>
    <w:p w:rsidR="00D87CDE" w:rsidRDefault="00AC602F" w:rsidP="00AC602F">
      <w:pPr>
        <w:pStyle w:val="ProductList-Bullet"/>
        <w:numPr>
          <w:ilvl w:val="1"/>
          <w:numId w:val="32"/>
        </w:numPr>
      </w:pPr>
      <w:r>
        <w:t xml:space="preserve">Os clientes poderão reduzir o respetivo Compromisso Monetário para qualquer aniversário de Inscrição futura notificando o respetivo revendedor, que tem de processar a redução com a Microsoft antes da data de aniversário da Inscrição. </w:t>
      </w:r>
    </w:p>
    <w:p w:rsidR="00D87CDE" w:rsidRDefault="00AC602F" w:rsidP="00AC602F">
      <w:pPr>
        <w:pStyle w:val="ProductList-Bullet"/>
        <w:numPr>
          <w:ilvl w:val="1"/>
          <w:numId w:val="32"/>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D87CDE" w:rsidRDefault="00AC602F" w:rsidP="00AC602F">
      <w:pPr>
        <w:pStyle w:val="ProductList-Bullet"/>
        <w:numPr>
          <w:ilvl w:val="0"/>
          <w:numId w:val="32"/>
        </w:numPr>
      </w:pPr>
      <w:r>
        <w:rPr>
          <w:b/>
          <w:color w:val="00188F"/>
        </w:rPr>
        <w:t>Consumo</w:t>
      </w:r>
      <w:r>
        <w:t xml:space="preserve">: Os clientes pagam com base no montante dos Serviços do Microsoft Azure consumidos durante um período de faturação. Algumas funcionalidades dos Serviços do Microsoft Azure só poderão estar disponíveis para aquisição para consumo. </w:t>
      </w:r>
    </w:p>
    <w:p w:rsidR="00D87CDE" w:rsidRDefault="00AC602F" w:rsidP="00AC602F">
      <w:pPr>
        <w:pStyle w:val="ProductList-Bullet"/>
        <w:numPr>
          <w:ilvl w:val="0"/>
          <w:numId w:val="32"/>
        </w:numPr>
      </w:pPr>
      <w:r>
        <w:rPr>
          <w:b/>
          <w:color w:val="00188F"/>
        </w:rPr>
        <w:t>Planos dos Serviços do Microsoft Azure</w:t>
      </w:r>
      <w:r>
        <w:t>: Os clientes poderão subscrever um Serviço do Microsoft Azure como um Plano dos Serviços do Microsoft Azure.</w:t>
      </w:r>
    </w:p>
    <w:p w:rsidR="00D87CDE" w:rsidRDefault="00AC602F" w:rsidP="00AC602F">
      <w:pPr>
        <w:pStyle w:val="ProductList-Bullet"/>
        <w:numPr>
          <w:ilvl w:val="0"/>
          <w:numId w:val="32"/>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D87CDE" w:rsidRDefault="00D87CDE">
      <w:pPr>
        <w:pStyle w:val="ProductList-Body"/>
      </w:pPr>
    </w:p>
    <w:p w:rsidR="00D87CDE" w:rsidRDefault="00AC602F">
      <w:pPr>
        <w:pStyle w:val="ProductList-ClauseHeading"/>
        <w:outlineLvl w:val="2"/>
      </w:pPr>
      <w:r>
        <w:t>4. Preços</w:t>
      </w:r>
    </w:p>
    <w:p w:rsidR="00D87CDE" w:rsidRDefault="00AC602F">
      <w:pPr>
        <w:pStyle w:val="ProductList-Body"/>
      </w:pPr>
      <w:r>
        <w:t>No caso de o Cliente não ter uma Inscrição Enterprise, Inscrição Enterprise Subscription, Contrato Select, Contrato Select Plus ou Inscrição Servidor e Nuvem, aplica-se o nível de preços A.</w:t>
      </w:r>
    </w:p>
    <w:p w:rsidR="00D87CDE" w:rsidRDefault="00D87CDE">
      <w:pPr>
        <w:pStyle w:val="ProductList-Body"/>
      </w:pPr>
    </w:p>
    <w:p w:rsidR="00D87CDE" w:rsidRDefault="00AC602F">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D87CDE" w:rsidRDefault="00D87CDE">
      <w:pPr>
        <w:pStyle w:val="ProductList-Body"/>
      </w:pPr>
    </w:p>
    <w:p w:rsidR="00D87CDE" w:rsidRDefault="00AC602F">
      <w:pPr>
        <w:pStyle w:val="ProductList-ClauseHeading"/>
        <w:outlineLvl w:val="2"/>
      </w:pPr>
      <w:r>
        <w:t>5. Pagamento e Honorários</w:t>
      </w:r>
    </w:p>
    <w:p w:rsidR="00D87CDE" w:rsidRDefault="00AC602F">
      <w:pPr>
        <w:pStyle w:val="ProductList-Body"/>
      </w:pPr>
      <w:r>
        <w:t>Os clientes que tenham adquirido os Serviços do Microsoft Azure sem um Compromisso Monetário serão faturados todos os trimestres com base nas Taxas de Consumo.</w:t>
      </w:r>
    </w:p>
    <w:p w:rsidR="00D87CDE" w:rsidRDefault="00D87CDE">
      <w:pPr>
        <w:pStyle w:val="ProductList-Body"/>
      </w:pPr>
    </w:p>
    <w:p w:rsidR="00D87CDE" w:rsidRDefault="00AC602F">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D87CDE" w:rsidRDefault="00D87CDE">
      <w:pPr>
        <w:pStyle w:val="ProductList-Body"/>
      </w:pPr>
    </w:p>
    <w:p w:rsidR="00D87CDE" w:rsidRDefault="00AC602F">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D87CDE" w:rsidRDefault="00D87CDE">
      <w:pPr>
        <w:pStyle w:val="ProductList-Body"/>
      </w:pPr>
    </w:p>
    <w:p w:rsidR="00D87CDE" w:rsidRDefault="00AC602F">
      <w:pPr>
        <w:pStyle w:val="ProductList-Body"/>
      </w:pPr>
      <w:r>
        <w:t>Se a utilização de um Cliente de Contrato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D87CDE" w:rsidRDefault="00D87CDE">
      <w:pPr>
        <w:pStyle w:val="ProductList-Body"/>
      </w:pPr>
    </w:p>
    <w:p w:rsidR="00D87CDE" w:rsidRDefault="00AC602F">
      <w:pPr>
        <w:pStyle w:val="ProductList-Body"/>
      </w:pPr>
      <w:r>
        <w:t>Se a utilização de um Cliente de Contrato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D87CDE" w:rsidRDefault="00D87CDE">
      <w:pPr>
        <w:pStyle w:val="ProductList-Body"/>
      </w:pPr>
    </w:p>
    <w:p w:rsidR="00D87CDE" w:rsidRDefault="00AC602F">
      <w:pPr>
        <w:pStyle w:val="ProductList-Body"/>
      </w:pPr>
      <w:r>
        <w:t>Para os Clientes do Contrato Enterprise indiretos, toda a utilização que exceda o Compromisso Anual Atribuído será faturada com base nas Taxas de Consumo ao revendedor do Cliente no fim de cada trimestre da Inscrição.</w:t>
      </w:r>
    </w:p>
    <w:p w:rsidR="00D87CDE" w:rsidRDefault="00D87CDE">
      <w:pPr>
        <w:pStyle w:val="ProductList-Body"/>
      </w:pPr>
    </w:p>
    <w:p w:rsidR="00D87CDE" w:rsidRDefault="00AC602F">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D87CDE" w:rsidRDefault="00D87CDE">
      <w:pPr>
        <w:pStyle w:val="ProductList-Body"/>
      </w:pPr>
    </w:p>
    <w:p w:rsidR="00D87CDE" w:rsidRDefault="00AC602F">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D87CDE" w:rsidRDefault="00D87CDE">
      <w:pPr>
        <w:pStyle w:val="ProductList-Body"/>
      </w:pPr>
    </w:p>
    <w:p w:rsidR="00D87CDE" w:rsidRDefault="00AC602F">
      <w:pPr>
        <w:pStyle w:val="ProductList-ClauseHeading"/>
        <w:outlineLvl w:val="2"/>
      </w:pPr>
      <w:r>
        <w:t>6. Programas Open License, Open Value e Open Value Subscription</w:t>
      </w:r>
    </w:p>
    <w:p w:rsidR="00D87CDE" w:rsidRDefault="00AC602F">
      <w:pPr>
        <w:pStyle w:val="ProductList-SubClauseHeading"/>
        <w:outlineLvl w:val="3"/>
      </w:pPr>
      <w:r>
        <w:t>6.1 Definições</w:t>
      </w:r>
    </w:p>
    <w:p w:rsidR="00D87CDE" w:rsidRDefault="00AC602F">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D87CDE" w:rsidRDefault="00AC602F">
      <w:pPr>
        <w:pStyle w:val="ProductList-BodyIndented"/>
      </w:pPr>
      <w:r>
        <w:rPr>
          <w:b/>
          <w:color w:val="00188F"/>
        </w:rPr>
        <w:t>Portal</w:t>
      </w:r>
      <w:r>
        <w:t xml:space="preserve"> significa o portal online através do qual o Cliente administra a respetiva Subscrição.</w:t>
      </w:r>
    </w:p>
    <w:p w:rsidR="00D87CDE" w:rsidRDefault="00AC602F">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D87CDE" w:rsidRDefault="00D87CDE">
      <w:pPr>
        <w:pStyle w:val="ProductList-BodyIndented"/>
      </w:pPr>
    </w:p>
    <w:p w:rsidR="00D87CDE" w:rsidRDefault="00AC602F">
      <w:pPr>
        <w:pStyle w:val="ProductList-SubClauseHeading"/>
        <w:outlineLvl w:val="3"/>
      </w:pPr>
      <w:r>
        <w:t>6.2 Vigência da Subscrição</w:t>
      </w:r>
    </w:p>
    <w:p w:rsidR="00D87CDE" w:rsidRDefault="00AC602F">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D87CDE" w:rsidRDefault="00D87CDE">
      <w:pPr>
        <w:pStyle w:val="ProductList-BodyIndented"/>
      </w:pPr>
    </w:p>
    <w:p w:rsidR="00D87CDE" w:rsidRDefault="00AC602F">
      <w:pPr>
        <w:pStyle w:val="ProductList-ClauseHeading"/>
        <w:outlineLvl w:val="2"/>
      </w:pPr>
      <w:r>
        <w:t>7. Microsoft Azure Hybrid Use Benefit</w:t>
      </w:r>
    </w:p>
    <w:p w:rsidR="00D87CDE" w:rsidRDefault="00AC602F">
      <w:pPr>
        <w:pStyle w:val="ProductList-Body"/>
      </w:pPr>
      <w:r>
        <w:t>Ao abrigo do Microsoft Azure Hybrid Use Benefit (“HUB”), um cliente com Licenças do Windows Server com cobertura Software Assurance (SA) pode carregar e utilizar a sua própria imagem do Windows Server no Microsoft Azure.</w:t>
      </w:r>
    </w:p>
    <w:p w:rsidR="00D87CDE" w:rsidRDefault="00D87CDE">
      <w:pPr>
        <w:pStyle w:val="ProductList-Body"/>
      </w:pPr>
    </w:p>
    <w:p w:rsidR="00D87CDE" w:rsidRDefault="00AC602F">
      <w:pPr>
        <w:pStyle w:val="ProductList-Body"/>
      </w:pPr>
      <w:r>
        <w:t xml:space="preserve">A utilização do software Windows Server ao abrigo do HUB está ativada através de Máquinas Virtuais do Azure que não incluem o Windows Server (“Instâncias Base”). Uma licença baseada em processador do Windows Server com SA confere a um cliente a capacidade para utilizar o Windows Server no Microsoft Azure num máximo de 16 Núcleos Virtuais atribuídos em duas ou menos Instâncias Base do Azure. O custo da Instância Base do Azure não está incluído no HUB. </w:t>
      </w:r>
    </w:p>
    <w:p w:rsidR="00D87CDE" w:rsidRDefault="00D87CDE">
      <w:pPr>
        <w:pStyle w:val="ProductList-Body"/>
      </w:pPr>
    </w:p>
    <w:p w:rsidR="00D87CDE" w:rsidRDefault="00AC602F">
      <w:pPr>
        <w:pStyle w:val="ProductList-Body"/>
      </w:pPr>
      <w:r>
        <w:t>O Cliente tem de indicar que está a utilizar o Windows Server ao abrigo do HUB quando configura as imagens carregadas no Azure. O Cliente pode utilizar as respetivas imagens carregadas, sujeito aos Termos dos Serviços Online.</w:t>
      </w:r>
    </w:p>
    <w:p w:rsidR="00D87CDE" w:rsidRDefault="00D87CDE">
      <w:pPr>
        <w:pStyle w:val="ProductList-Body"/>
      </w:pPr>
    </w:p>
    <w:p w:rsidR="00D87CDE" w:rsidRDefault="00AC602F">
      <w:pPr>
        <w:pStyle w:val="ProductList-Body"/>
      </w:pPr>
      <w:r>
        <w:t>O HUB confere direitos adicionais para implementar e utilizar o software quando exercidos no âmbito das Licenças de Centro de Dados e direitos alternativos quando exercidos no âmbito das Licenças Padrão. As Licenças Padrão são consideradas como “atribuídas ao Azure” quando o Cliente utiliza o Windows Server ao abrigo HUB e estão sujeitas às limitações de reatribuição da Licença nos Termos de Licenciamento Universal.</w:t>
      </w:r>
    </w:p>
    <w:p w:rsidR="00D87CDE" w:rsidRDefault="00AC602F">
      <w:pPr>
        <w:pStyle w:val="ProductList-Offering2HeadingNoBorder"/>
        <w:outlineLvl w:val="2"/>
      </w:pPr>
      <w:bookmarkStart w:id="225" w:name="_Sec625"/>
      <w:r>
        <w:t>Serviços do Microsoft Azure</w:t>
      </w:r>
      <w:bookmarkEnd w:id="225"/>
      <w:r>
        <w:fldChar w:fldCharType="begin"/>
      </w:r>
      <w:r>
        <w:instrText xml:space="preserve"> TC "</w:instrText>
      </w:r>
      <w:bookmarkStart w:id="226" w:name="_Toc452110497"/>
      <w:r>
        <w:instrText>Serviços do Microsoft Azure</w:instrText>
      </w:r>
      <w:bookmarkEnd w:id="226"/>
      <w:r>
        <w:instrText>" \l 3</w:instrText>
      </w:r>
      <w:r>
        <w:fldChar w:fldCharType="end"/>
      </w:r>
    </w:p>
    <w:p w:rsidR="00D87CDE" w:rsidRDefault="00AC602F">
      <w:pPr>
        <w:pStyle w:val="ProductList-Offering1SubSection"/>
        <w:outlineLvl w:val="3"/>
      </w:pPr>
      <w:bookmarkStart w:id="227" w:name="_Sec705"/>
      <w:r>
        <w:t>1. Disponibilidade do Programa</w:t>
      </w:r>
      <w:bookmarkEnd w:id="227"/>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none" w:sz="4" w:space="0" w:color="BFBFBF"/>
              <w:right w:val="none" w:sz="4" w:space="0" w:color="6E6E6E"/>
            </w:tcBorders>
          </w:tcPr>
          <w:p w:rsidR="00D87CDE" w:rsidRDefault="00AC602F">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3"/>
      </w:pPr>
      <w:bookmarkStart w:id="228" w:name="_Sec760"/>
      <w:r>
        <w:t>2. Condições do Produto</w:t>
      </w:r>
      <w:bookmarkEnd w:id="228"/>
    </w:p>
    <w:tbl>
      <w:tblPr>
        <w:tblStyle w:val="PURTable"/>
        <w:tblW w:w="0" w:type="dxa"/>
        <w:tblLook w:val="04A0" w:firstRow="1" w:lastRow="0" w:firstColumn="1" w:lastColumn="0" w:noHBand="0" w:noVBand="1"/>
      </w:tblPr>
      <w:tblGrid>
        <w:gridCol w:w="3586"/>
        <w:gridCol w:w="3602"/>
        <w:gridCol w:w="3602"/>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Planos dos Serviços do Microsoft Azure</w:t>
      </w:r>
    </w:p>
    <w:p w:rsidR="00D87CDE" w:rsidRDefault="00AC602F">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87CDE" w:rsidRDefault="00D87CDE">
            <w:pPr>
              <w:pStyle w:val="PURBreadcrumb"/>
            </w:pPr>
          </w:p>
          <w:tbl>
            <w:tblPr>
              <w:tblW w:w="0" w:type="dxa"/>
              <w:tblLook w:val="04A0" w:firstRow="1" w:lastRow="0" w:firstColumn="1" w:lastColumn="0" w:noHBand="0" w:noVBand="1"/>
            </w:tblPr>
            <w:tblGrid>
              <w:gridCol w:w="10684"/>
            </w:tblGrid>
            <w:tr w:rsidR="00D87CDE">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TableBody"/>
            </w:pPr>
          </w:p>
        </w:tc>
      </w:tr>
    </w:tbl>
    <w:p w:rsidR="00D87CDE" w:rsidRDefault="00AC602F">
      <w:pPr>
        <w:pStyle w:val="ProductList-Offering2HeadingNoBorder"/>
        <w:outlineLvl w:val="2"/>
      </w:pPr>
      <w:bookmarkStart w:id="229" w:name="_Sec626"/>
      <w:r>
        <w:t>Suporte do Microsoft Azure (Plano)</w:t>
      </w:r>
      <w:bookmarkEnd w:id="229"/>
      <w:r>
        <w:fldChar w:fldCharType="begin"/>
      </w:r>
      <w:r>
        <w:instrText xml:space="preserve"> TC "</w:instrText>
      </w:r>
      <w:bookmarkStart w:id="230" w:name="_Toc452110498"/>
      <w:r>
        <w:instrText>Suporte do Microsoft Azure (Plano)</w:instrText>
      </w:r>
      <w:bookmarkEnd w:id="230"/>
      <w:r>
        <w:instrText>" \l 3</w:instrText>
      </w:r>
      <w:r>
        <w:fldChar w:fldCharType="end"/>
      </w:r>
    </w:p>
    <w:p w:rsidR="00D87CDE" w:rsidRDefault="00AC602F">
      <w:pPr>
        <w:pStyle w:val="ProductList-Offering1SubSection"/>
        <w:outlineLvl w:val="3"/>
      </w:pPr>
      <w:bookmarkStart w:id="231" w:name="_Sec706"/>
      <w:r>
        <w:t>1. Disponibilidade do Programa</w:t>
      </w:r>
      <w:bookmarkEnd w:id="231"/>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3"/>
      </w:pPr>
      <w:bookmarkStart w:id="232" w:name="_Sec761"/>
      <w:r>
        <w:t>2. Condições do Produto</w:t>
      </w:r>
      <w:bookmarkEnd w:id="232"/>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 xml:space="preserve">Redução Elegível: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Ofertas de Suporte do Microsoft Azure</w:t>
      </w:r>
    </w:p>
    <w:p w:rsidR="00D87CDE" w:rsidRDefault="00AC602F">
      <w:pPr>
        <w:pStyle w:val="ProductList-Body"/>
      </w:pPr>
      <w:r>
        <w:t xml:space="preserve">Os detalhes sobre ofertas de suporte para o Microsoft Azure estão disponíveis em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87CDE" w:rsidRDefault="00D87CDE">
            <w:pPr>
              <w:pStyle w:val="PURBreadcrumb"/>
            </w:pPr>
          </w:p>
          <w:tbl>
            <w:tblPr>
              <w:tblW w:w="0" w:type="dxa"/>
              <w:tblLook w:val="04A0" w:firstRow="1" w:lastRow="0" w:firstColumn="1" w:lastColumn="0" w:noHBand="0" w:noVBand="1"/>
            </w:tblPr>
            <w:tblGrid>
              <w:gridCol w:w="10684"/>
            </w:tblGrid>
            <w:tr w:rsidR="00D87CDE">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TableBody"/>
            </w:pPr>
          </w:p>
        </w:tc>
      </w:tr>
    </w:tbl>
    <w:p w:rsidR="00D87CDE" w:rsidRDefault="00AC602F">
      <w:pPr>
        <w:pStyle w:val="ProductList-Offering2HeadingNoBorder"/>
        <w:outlineLvl w:val="2"/>
      </w:pPr>
      <w:bookmarkStart w:id="233" w:name="_Sec628"/>
      <w:r>
        <w:t>Microsoft Azure Site Recovery (Plano)</w:t>
      </w:r>
      <w:bookmarkEnd w:id="233"/>
      <w:r>
        <w:fldChar w:fldCharType="begin"/>
      </w:r>
      <w:r>
        <w:instrText xml:space="preserve"> TC "</w:instrText>
      </w:r>
      <w:bookmarkStart w:id="234" w:name="_Toc452110499"/>
      <w:r>
        <w:instrText>Microsoft Azure Site Recovery (Plano)</w:instrText>
      </w:r>
      <w:bookmarkEnd w:id="234"/>
      <w:r>
        <w:instrText>" \l 3</w:instrText>
      </w:r>
      <w:r>
        <w:fldChar w:fldCharType="end"/>
      </w:r>
    </w:p>
    <w:p w:rsidR="00D87CDE" w:rsidRDefault="00AC602F">
      <w:pPr>
        <w:pStyle w:val="ProductList-Offering1SubSection"/>
        <w:outlineLvl w:val="3"/>
      </w:pPr>
      <w:bookmarkStart w:id="235" w:name="_Sec708"/>
      <w:r>
        <w:t>1. Disponibilidade do Programa</w:t>
      </w:r>
      <w:bookmarkEnd w:id="235"/>
    </w:p>
    <w:p w:rsidR="00D87CDE" w:rsidRDefault="00D87CDE">
      <w:pPr>
        <w:pStyle w:val="ProductList-Body"/>
      </w:pPr>
    </w:p>
    <w:tbl>
      <w:tblPr>
        <w:tblStyle w:val="PURTable"/>
        <w:tblW w:w="0" w:type="dxa"/>
        <w:tblLook w:val="04A0" w:firstRow="1" w:lastRow="0" w:firstColumn="1" w:lastColumn="0" w:noHBand="0" w:noVBand="1"/>
      </w:tblPr>
      <w:tblGrid>
        <w:gridCol w:w="4392"/>
        <w:gridCol w:w="805"/>
        <w:gridCol w:w="773"/>
        <w:gridCol w:w="790"/>
        <w:gridCol w:w="804"/>
        <w:gridCol w:w="826"/>
        <w:gridCol w:w="818"/>
        <w:gridCol w:w="795"/>
        <w:gridCol w:w="781"/>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none" w:sz="4" w:space="0" w:color="BFBFBF"/>
              <w:right w:val="none" w:sz="4" w:space="0" w:color="6E6E6E"/>
            </w:tcBorders>
          </w:tcPr>
          <w:p w:rsidR="00D87CDE" w:rsidRDefault="00AC602F">
            <w:pPr>
              <w:pStyle w:val="ProductList-TableBody"/>
            </w:pPr>
            <w:r>
              <w:t>Microsoft Azure Site Recovery</w:t>
            </w:r>
            <w:r>
              <w:fldChar w:fldCharType="begin"/>
            </w:r>
            <w:r>
              <w:instrText xml:space="preserve"> XE "Microsoft Azure Site Recovery" </w:instrText>
            </w:r>
            <w:r>
              <w:fldChar w:fldCharType="end"/>
            </w:r>
            <w:r>
              <w:t xml:space="preserve"> (para Local Propriedade do Cliente)</w:t>
            </w:r>
          </w:p>
        </w:tc>
        <w:tc>
          <w:tcPr>
            <w:tcW w:w="860" w:type="dxa"/>
            <w:tcBorders>
              <w:top w:val="single" w:sz="6" w:space="0" w:color="FFFFF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3"/>
      </w:pPr>
      <w:bookmarkStart w:id="236" w:name="_Sec763"/>
      <w:r>
        <w:t>2. Condições do Produto</w:t>
      </w:r>
      <w:bookmarkEnd w:id="236"/>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 xml:space="preserve">Pré-requisito: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Todos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Quantidade Inicial</w:t>
      </w:r>
    </w:p>
    <w:p w:rsidR="00D87CDE" w:rsidRDefault="00AC602F">
      <w:pPr>
        <w:pStyle w:val="ProductList-Body"/>
      </w:pPr>
      <w:r>
        <w:t>Cada encomenda do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237" w:name="_Sec657"/>
      <w:r>
        <w:t>Enterprise Mobility Suite (Plano)</w:t>
      </w:r>
      <w:bookmarkEnd w:id="237"/>
      <w:r>
        <w:fldChar w:fldCharType="begin"/>
      </w:r>
      <w:r>
        <w:instrText xml:space="preserve"> TC "</w:instrText>
      </w:r>
      <w:bookmarkStart w:id="238" w:name="_Toc452110500"/>
      <w:r>
        <w:instrText>Enterprise Mobility Suite (Plano)</w:instrText>
      </w:r>
      <w:bookmarkEnd w:id="238"/>
      <w:r>
        <w:instrText>" \l 3</w:instrText>
      </w:r>
      <w:r>
        <w:fldChar w:fldCharType="end"/>
      </w:r>
    </w:p>
    <w:p w:rsidR="00D87CDE" w:rsidRDefault="00AC602F">
      <w:pPr>
        <w:pStyle w:val="ProductList-Offering1SubSection"/>
        <w:outlineLvl w:val="3"/>
      </w:pPr>
      <w:bookmarkStart w:id="239" w:name="_Sec709"/>
      <w:r>
        <w:t>1. Disponibilidade do Programa</w:t>
      </w:r>
      <w:bookmarkEnd w:id="239"/>
    </w:p>
    <w:tbl>
      <w:tblPr>
        <w:tblStyle w:val="PURTable"/>
        <w:tblW w:w="0" w:type="dxa"/>
        <w:tblLook w:val="04A0" w:firstRow="1" w:lastRow="0" w:firstColumn="1" w:lastColumn="0" w:noHBand="0" w:noVBand="1"/>
      </w:tblPr>
      <w:tblGrid>
        <w:gridCol w:w="4387"/>
        <w:gridCol w:w="805"/>
        <w:gridCol w:w="773"/>
        <w:gridCol w:w="789"/>
        <w:gridCol w:w="804"/>
        <w:gridCol w:w="825"/>
        <w:gridCol w:w="818"/>
        <w:gridCol w:w="794"/>
        <w:gridCol w:w="789"/>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t>Enterprise Mobility Suite</w:t>
            </w:r>
            <w:r>
              <w:fldChar w:fldCharType="begin"/>
            </w:r>
            <w:r>
              <w:instrText xml:space="preserve"> XE "Enterprise Mobility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Suplemento do Enterprise Mobility Suite</w:t>
            </w:r>
            <w:r>
              <w:fldChar w:fldCharType="begin"/>
            </w:r>
            <w:r>
              <w:instrText xml:space="preserve"> XE "Suplemento do Enterprise Mobility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Enterprise Mobility Suite de SA Existente</w:t>
            </w:r>
            <w:r>
              <w:fldChar w:fldCharType="begin"/>
            </w:r>
            <w:r>
              <w:instrText xml:space="preserve"> XE "Enterprise Mobility Suite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240" w:name="_Sec764"/>
      <w:r>
        <w:t>2. Condições do Produto</w:t>
      </w:r>
      <w:bookmarkEnd w:id="240"/>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w:t>
            </w:r>
            <w:hyperlink w:anchor="_Sec572">
              <w:r>
                <w:rPr>
                  <w:color w:val="00467F"/>
                  <w:u w:val="single"/>
                </w:rPr>
                <w:t>Apêndice E</w:t>
              </w:r>
            </w:hyperlink>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Elegibilidade de Aquisição de SL de Utilizador de Suplementos</w:t>
      </w:r>
    </w:p>
    <w:p w:rsidR="00D87CDE" w:rsidRDefault="00AC602F">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D87CDE" w:rsidRDefault="00D87CDE">
      <w:pPr>
        <w:pStyle w:val="ProductList-Body"/>
      </w:pPr>
    </w:p>
    <w:p w:rsidR="00D87CDE" w:rsidRDefault="00AC602F">
      <w:pPr>
        <w:pStyle w:val="ProductList-ClauseHeading"/>
        <w:outlineLvl w:val="4"/>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D87C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SL de Utilizador de Suplementos</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87CDE" w:rsidRDefault="00D87CDE">
            <w:pPr>
              <w:pStyle w:val="ProductList-TableBody"/>
            </w:pP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87CDE" w:rsidRDefault="00D87CDE">
            <w:pPr>
              <w:pStyle w:val="ProductList-TableBody"/>
            </w:pP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87CDE" w:rsidRDefault="00D87CDE">
            <w:pPr>
              <w:pStyle w:val="ProductList-TableBody"/>
            </w:pP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87CDE" w:rsidRDefault="00AC602F">
            <w:pPr>
              <w:pStyle w:val="ProductList-TableBody"/>
            </w:pPr>
            <w:r>
              <w:t>Enterprise Mobility Suite</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87CDE" w:rsidRDefault="00D87CDE">
            <w:pPr>
              <w:pStyle w:val="ProductList-TableBody"/>
            </w:pP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2.3 Restrições de Aquisição de SL de Utilizador de Suplementos</w:t>
      </w:r>
    </w:p>
    <w:p w:rsidR="00D87CDE" w:rsidRDefault="00AC602F">
      <w:pPr>
        <w:pStyle w:val="ProductList-Body"/>
      </w:pPr>
      <w:r>
        <w:t>Só uma SL de Utilizador de Suplementos pode ser adquirida para cada Licença Qualificável (ou conjunto de Licenças Qualificáveis).</w:t>
      </w:r>
    </w:p>
    <w:p w:rsidR="00D87CDE" w:rsidRDefault="00D87CDE">
      <w:pPr>
        <w:pStyle w:val="ProductList-Body"/>
      </w:pPr>
    </w:p>
    <w:p w:rsidR="00D87CDE" w:rsidRDefault="00AC602F">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rsidR="00D87CDE" w:rsidRDefault="00D87CDE">
      <w:pPr>
        <w:pStyle w:val="ProductList-Body"/>
      </w:pPr>
    </w:p>
    <w:p w:rsidR="00D87CDE" w:rsidRDefault="00AC602F">
      <w:pPr>
        <w:pStyle w:val="ProductList-Body"/>
      </w:pPr>
      <w:r>
        <w:t>Os clientes do Contrato Campus e School poderão adquirir a Licença de Subscrição de Utilizador correspondente para SLs de Utilizador do Enterprise Mobility Suite para os respetivos Utilizadores até à mesma quantidade que o respetivo número de PCs Elegíveis desde que tenham cobertura para as Licenças Qualificáveis.</w:t>
      </w:r>
    </w:p>
    <w:p w:rsidR="00D87CDE" w:rsidRDefault="00D87CDE">
      <w:pPr>
        <w:pStyle w:val="ProductList-Body"/>
      </w:pPr>
    </w:p>
    <w:p w:rsidR="00D87CDE" w:rsidRDefault="00AC602F">
      <w:pPr>
        <w:pStyle w:val="ProductList-ClauseHeading"/>
        <w:outlineLvl w:val="4"/>
      </w:pPr>
      <w:r>
        <w:t>2.4 Elegibilidade de aquisição para SLs de Utilizador do Enterprise Mobility Suite de SA Existente</w:t>
      </w:r>
    </w:p>
    <w:p w:rsidR="00D87CDE" w:rsidRDefault="00AC602F">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CAL Suite Bridge Necessária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 Bridge para Enterprise Mobility Suite</w:t>
            </w:r>
            <w:r>
              <w:rPr>
                <w:vertAlign w:val="superscript"/>
              </w:rPr>
              <w:t>2,3</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 Bridge para Enterprise Mobility Suite</w:t>
            </w:r>
            <w:r>
              <w:rPr>
                <w:vertAlign w:val="superscript"/>
              </w:rPr>
              <w:t>2,4</w:t>
            </w:r>
          </w:p>
        </w:tc>
      </w:tr>
    </w:tbl>
    <w:p w:rsidR="00D87CDE" w:rsidRDefault="00AC602F">
      <w:pPr>
        <w:pStyle w:val="ProductList-Body"/>
      </w:pPr>
      <w:r>
        <w:rPr>
          <w:i/>
          <w:vertAlign w:val="superscript"/>
        </w:rPr>
        <w:t>1</w:t>
      </w:r>
      <w:r>
        <w:rPr>
          <w:i/>
        </w:rPr>
        <w:t>Disponível para aquisição no aniversário da inscrição ou no início de um novo período de inscrição apenas.</w:t>
      </w:r>
    </w:p>
    <w:p w:rsidR="00D87CDE" w:rsidRDefault="00AC602F">
      <w:pPr>
        <w:pStyle w:val="ProductList-Body"/>
      </w:pPr>
      <w:r>
        <w:rPr>
          <w:i/>
          <w:vertAlign w:val="superscript"/>
        </w:rPr>
        <w:t>2</w:t>
      </w:r>
      <w:r>
        <w:rPr>
          <w:i/>
        </w:rPr>
        <w:t>Necessário para Aquisição no aniversário da inscrição apenas.</w:t>
      </w:r>
    </w:p>
    <w:p w:rsidR="00D87CDE" w:rsidRDefault="00AC602F">
      <w:pPr>
        <w:pStyle w:val="ProductList-Body"/>
      </w:pPr>
      <w:r>
        <w:rPr>
          <w:i/>
          <w:vertAlign w:val="superscript"/>
        </w:rPr>
        <w:t>3</w:t>
      </w:r>
      <w:r>
        <w:rPr>
          <w:i/>
        </w:rPr>
        <w:t xml:space="preserve">Aquisição não necessária para utilizadores também licenciados com o Office 365 (Enterprise e Administração Pública E1, E3, E4) </w:t>
      </w:r>
    </w:p>
    <w:p w:rsidR="00D87CDE" w:rsidRDefault="00AC602F">
      <w:pPr>
        <w:pStyle w:val="ProductList-Body"/>
      </w:pPr>
      <w:r>
        <w:rPr>
          <w:i/>
          <w:vertAlign w:val="superscript"/>
        </w:rPr>
        <w:t>4</w:t>
      </w:r>
      <w:r>
        <w:rPr>
          <w:i/>
        </w:rPr>
        <w:t>Aquisição não necessária para utilizadores também licenciados com o Office 365 (Enterprise e Administração Pública E3, E4)</w:t>
      </w:r>
    </w:p>
    <w:p w:rsidR="00D87CDE" w:rsidRDefault="00D87CDE">
      <w:pPr>
        <w:pStyle w:val="ProductList-Body"/>
      </w:pPr>
    </w:p>
    <w:p w:rsidR="00D87CDE" w:rsidRDefault="00AC602F">
      <w:pPr>
        <w:pStyle w:val="ProductList-ClauseHeading"/>
        <w:outlineLvl w:val="4"/>
      </w:pPr>
      <w:r>
        <w:t>2.5 Aquisições de SLs de Utilizador de SA Existente</w:t>
      </w:r>
    </w:p>
    <w:p w:rsidR="00D87CDE" w:rsidRDefault="00AC602F">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rsidR="00D87CDE" w:rsidRDefault="00D87CDE">
      <w:pPr>
        <w:pStyle w:val="ProductList-Body"/>
      </w:pPr>
    </w:p>
    <w:p w:rsidR="00D87CDE" w:rsidRDefault="00AC602F">
      <w:pPr>
        <w:pStyle w:val="ProductList-ClauseHeading"/>
        <w:outlineLvl w:val="4"/>
      </w:pPr>
      <w:r>
        <w:t>2.6 Benefícios de SA para SLs de Utilizador do Enterprise Mobility Suite de SA Existente</w:t>
      </w:r>
    </w:p>
    <w:p w:rsidR="00D87CDE" w:rsidRDefault="00AC602F">
      <w:pPr>
        <w:pStyle w:val="ProductList-Body"/>
      </w:pPr>
      <w:r>
        <w:t>As SLs de Utilizador do Enterprise Mobility Suite de SA Existente qualificam o Cliente para os Benefícios de SA com base nas Licenças Qualificáveis ma secção 2.4.</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241" w:name="_Sec658"/>
      <w:r>
        <w:t>Azure Active Directory (Plano)</w:t>
      </w:r>
      <w:bookmarkEnd w:id="241"/>
      <w:r>
        <w:fldChar w:fldCharType="begin"/>
      </w:r>
      <w:r>
        <w:instrText xml:space="preserve"> TC "</w:instrText>
      </w:r>
      <w:bookmarkStart w:id="242" w:name="_Toc452110501"/>
      <w:r>
        <w:instrText>Azure Active Directory (Plano)</w:instrText>
      </w:r>
      <w:bookmarkEnd w:id="242"/>
      <w:r>
        <w:instrText>" \l 3</w:instrText>
      </w:r>
      <w:r>
        <w:fldChar w:fldCharType="end"/>
      </w:r>
    </w:p>
    <w:p w:rsidR="00D87CDE" w:rsidRDefault="00AC602F">
      <w:pPr>
        <w:pStyle w:val="ProductList-Offering1SubSection"/>
        <w:outlineLvl w:val="3"/>
      </w:pPr>
      <w:bookmarkStart w:id="243" w:name="_Sec710"/>
      <w:r>
        <w:t>1. Disponibilidade do Programa</w:t>
      </w:r>
      <w:bookmarkEnd w:id="243"/>
    </w:p>
    <w:tbl>
      <w:tblPr>
        <w:tblStyle w:val="PURTable"/>
        <w:tblW w:w="0" w:type="dxa"/>
        <w:tblLook w:val="04A0" w:firstRow="1" w:lastRow="0" w:firstColumn="1" w:lastColumn="0" w:noHBand="0" w:noVBand="1"/>
      </w:tblPr>
      <w:tblGrid>
        <w:gridCol w:w="4380"/>
        <w:gridCol w:w="806"/>
        <w:gridCol w:w="774"/>
        <w:gridCol w:w="790"/>
        <w:gridCol w:w="805"/>
        <w:gridCol w:w="826"/>
        <w:gridCol w:w="818"/>
        <w:gridCol w:w="795"/>
        <w:gridCol w:w="790"/>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Azure Active Directory Basic (SL de Utilizador)</w:t>
            </w:r>
            <w:r>
              <w:fldChar w:fldCharType="begin"/>
            </w:r>
            <w:r>
              <w:instrText xml:space="preserve"> XE "Azure Active Directory Basic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Azure Active Directory Premium (SL de Utilizador)</w:t>
            </w:r>
            <w:r>
              <w:fldChar w:fldCharType="begin"/>
            </w:r>
            <w:r>
              <w:instrText xml:space="preserve"> XE "Azure Active Directory Premium (SL de Utilizador)"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3"/>
      </w:pPr>
      <w:bookmarkStart w:id="244" w:name="_Sec765"/>
      <w:r>
        <w:t>2. Condições do Produto</w:t>
      </w:r>
      <w:bookmarkEnd w:id="244"/>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Início de Sessão Único (SSO)</w:t>
      </w:r>
    </w:p>
    <w:p w:rsidR="00D87CDE" w:rsidRDefault="00AC602F">
      <w:pPr>
        <w:pStyle w:val="ProductList-Body"/>
      </w:pPr>
      <w:r>
        <w:t>Os clientes do Microsoft Azure Active Directory Basic poderão utilizar o SSO para pré-integrar até 10 Aplicações SAAS/Aplicações Personalizadas por utilizador.</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245" w:name="_Sec659"/>
      <w:r>
        <w:t>Gestão de Direitos Premium do Azure (Plano)</w:t>
      </w:r>
      <w:bookmarkEnd w:id="245"/>
      <w:r>
        <w:fldChar w:fldCharType="begin"/>
      </w:r>
      <w:r>
        <w:instrText xml:space="preserve"> TC "</w:instrText>
      </w:r>
      <w:bookmarkStart w:id="246" w:name="_Toc452110502"/>
      <w:r>
        <w:instrText>Gestão de Direitos Premium do Azure (Plano)</w:instrText>
      </w:r>
      <w:bookmarkEnd w:id="246"/>
      <w:r>
        <w:instrText>" \l 3</w:instrText>
      </w:r>
      <w:r>
        <w:fldChar w:fldCharType="end"/>
      </w:r>
    </w:p>
    <w:p w:rsidR="00D87CDE" w:rsidRDefault="00AC602F">
      <w:pPr>
        <w:pStyle w:val="ProductList-Offering1SubSection"/>
        <w:outlineLvl w:val="3"/>
      </w:pPr>
      <w:bookmarkStart w:id="247" w:name="_Sec711"/>
      <w:r>
        <w:t>1. Disponibilidade do Programa</w:t>
      </w:r>
      <w:bookmarkEnd w:id="247"/>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Azure Rights Management Premium (SL de Utilizador)</w:t>
            </w:r>
          </w:p>
        </w:tc>
        <w:tc>
          <w:tcPr>
            <w:tcW w:w="86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Suplemento de Azure Rights Management Premium (SL de Utilizador)</w:t>
            </w:r>
          </w:p>
        </w:tc>
        <w:tc>
          <w:tcPr>
            <w:tcW w:w="860" w:type="dxa"/>
            <w:tcBorders>
              <w:top w:val="dashed" w:sz="4" w:space="0" w:color="BFBFBF"/>
              <w:left w:val="none" w:sz="4" w:space="0" w:color="6E6E6E"/>
              <w:bottom w:val="none"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248" w:name="_Sec766"/>
      <w:r>
        <w:t>2. Condições do Produto</w:t>
      </w:r>
      <w:bookmarkEnd w:id="248"/>
    </w:p>
    <w:tbl>
      <w:tblPr>
        <w:tblStyle w:val="PURTable"/>
        <w:tblW w:w="0" w:type="dxa"/>
        <w:tblLook w:val="04A0" w:firstRow="1" w:lastRow="0" w:firstColumn="1" w:lastColumn="0" w:noHBand="0" w:noVBand="1"/>
      </w:tblPr>
      <w:tblGrid>
        <w:gridCol w:w="3588"/>
        <w:gridCol w:w="3601"/>
        <w:gridCol w:w="3601"/>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Azure Rights Management Premium (SL de Utilizador)</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Azure Rights Management Premium (SL de Utilizador)</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Rights Management Premium (SL de Utilizador)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249" w:name="_Sec660"/>
      <w:r>
        <w:t>Azure RemoteApp (Plano)</w:t>
      </w:r>
      <w:bookmarkEnd w:id="249"/>
      <w:r>
        <w:fldChar w:fldCharType="begin"/>
      </w:r>
      <w:r>
        <w:instrText xml:space="preserve"> TC "</w:instrText>
      </w:r>
      <w:bookmarkStart w:id="250" w:name="_Toc452110503"/>
      <w:r>
        <w:instrText>Azure RemoteApp (Plano)</w:instrText>
      </w:r>
      <w:bookmarkEnd w:id="250"/>
      <w:r>
        <w:instrText>" \l 3</w:instrText>
      </w:r>
      <w:r>
        <w:fldChar w:fldCharType="end"/>
      </w:r>
    </w:p>
    <w:p w:rsidR="00D87CDE" w:rsidRDefault="00AC602F">
      <w:pPr>
        <w:pStyle w:val="ProductList-Offering1SubSection"/>
        <w:outlineLvl w:val="3"/>
      </w:pPr>
      <w:bookmarkStart w:id="251" w:name="_Sec712"/>
      <w:r>
        <w:t>1. Disponibilidade do Programa</w:t>
      </w:r>
      <w:bookmarkEnd w:id="251"/>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none" w:sz="4" w:space="0" w:color="BFBFBF"/>
              <w:right w:val="none" w:sz="4" w:space="0" w:color="6E6E6E"/>
            </w:tcBorders>
          </w:tcPr>
          <w:p w:rsidR="00D87CDE" w:rsidRDefault="00AC602F">
            <w:pPr>
              <w:pStyle w:val="ProductList-TableBody"/>
            </w:pPr>
            <w:r>
              <w:t>Azure RemoteApp</w:t>
            </w:r>
            <w:r>
              <w:fldChar w:fldCharType="begin"/>
            </w:r>
            <w:r>
              <w:instrText xml:space="preserve"> XE "Azure RemoteApp"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3"/>
      </w:pPr>
      <w:bookmarkStart w:id="252" w:name="_Sec767"/>
      <w:r>
        <w:t>2. Condições do Produto</w:t>
      </w:r>
      <w:bookmarkEnd w:id="252"/>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253" w:name="_Sec854"/>
      <w:r>
        <w:t>Operations Management Suite (Plano)</w:t>
      </w:r>
      <w:bookmarkEnd w:id="253"/>
      <w:r>
        <w:fldChar w:fldCharType="begin"/>
      </w:r>
      <w:r>
        <w:instrText xml:space="preserve"> TC "</w:instrText>
      </w:r>
      <w:bookmarkStart w:id="254" w:name="_Toc452110504"/>
      <w:r>
        <w:instrText>Operations Management Suite (Plano)</w:instrText>
      </w:r>
      <w:bookmarkEnd w:id="254"/>
      <w:r>
        <w:instrText>" \l 3</w:instrText>
      </w:r>
      <w:r>
        <w:fldChar w:fldCharType="end"/>
      </w:r>
    </w:p>
    <w:p w:rsidR="00D87CDE" w:rsidRDefault="00AC602F">
      <w:pPr>
        <w:pStyle w:val="ProductList-Offering1SubSection"/>
        <w:outlineLvl w:val="3"/>
      </w:pPr>
      <w:bookmarkStart w:id="255" w:name="_Sec855"/>
      <w:r>
        <w:t>1. Disponibilidade do Programa</w:t>
      </w:r>
      <w:bookmarkEnd w:id="255"/>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Suplemento do Operations Management Suite Standard Edition</w:t>
            </w:r>
            <w:r>
              <w:fldChar w:fldCharType="begin"/>
            </w:r>
            <w:r>
              <w:instrText xml:space="preserve"> XE "Suplemento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Suplemento do Operations Management Suite Datacenter Edition</w:t>
            </w:r>
            <w:r>
              <w:fldChar w:fldCharType="begin"/>
            </w:r>
            <w:r>
              <w:instrText xml:space="preserve"> XE "Suplemento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3"/>
      </w:pPr>
      <w:bookmarkStart w:id="256" w:name="_Sec856"/>
      <w:r>
        <w:t>2. Condições do Produto</w:t>
      </w:r>
      <w:bookmarkEnd w:id="256"/>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SLs de Suplementos</w:t>
      </w:r>
    </w:p>
    <w:tbl>
      <w:tblPr>
        <w:tblStyle w:val="PURTable"/>
        <w:tblW w:w="0" w:type="dxa"/>
        <w:tblLook w:val="04A0" w:firstRow="1" w:lastRow="0" w:firstColumn="1" w:lastColumn="0" w:noHBand="0" w:noVBand="1"/>
      </w:tblPr>
      <w:tblGrid>
        <w:gridCol w:w="5397"/>
        <w:gridCol w:w="5393"/>
      </w:tblGrid>
      <w:tr w:rsidR="00D87C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SL de Suplementos</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Infrastructure Server Standard</w:t>
            </w:r>
            <w:r>
              <w:rPr>
                <w:vertAlign w:val="superscript"/>
              </w:rPr>
              <w:t>1</w:t>
            </w:r>
          </w:p>
          <w:p w:rsidR="00D87CDE" w:rsidRDefault="00AC602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Suplemento do Operations Management Suite Standard Edition</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Infrastructure Server Suite Datacenter</w:t>
            </w:r>
            <w:r>
              <w:rPr>
                <w:vertAlign w:val="superscript"/>
              </w:rPr>
              <w:t>1</w:t>
            </w:r>
          </w:p>
          <w:p w:rsidR="00D87CDE" w:rsidRDefault="00AC602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Suplemento do Operations Management Suite Datacenter Edition</w:t>
            </w:r>
          </w:p>
        </w:tc>
      </w:tr>
    </w:tbl>
    <w:p w:rsidR="00D87CDE" w:rsidRDefault="00AC602F">
      <w:pPr>
        <w:pStyle w:val="ProductList-Body"/>
      </w:pPr>
      <w:r>
        <w:rPr>
          <w:i/>
          <w:vertAlign w:val="superscript"/>
        </w:rPr>
        <w:t>1</w:t>
      </w:r>
      <w:r>
        <w:rPr>
          <w:i/>
        </w:rPr>
        <w:t>Com SA ativa</w:t>
      </w:r>
    </w:p>
    <w:p w:rsidR="00D87CDE" w:rsidRDefault="00D87CDE">
      <w:pPr>
        <w:pStyle w:val="ProductList-Body"/>
      </w:pPr>
    </w:p>
    <w:p w:rsidR="00D87CDE" w:rsidRDefault="00AC602F">
      <w:pPr>
        <w:pStyle w:val="ProductList-ClauseHeading"/>
        <w:outlineLvl w:val="4"/>
      </w:pPr>
      <w:r>
        <w:t>2.2 Azure Site Recovery com Operations Management Suite</w:t>
      </w:r>
    </w:p>
    <w:p w:rsidR="00D87CDE" w:rsidRDefault="00AC602F">
      <w:pPr>
        <w:pStyle w:val="ProductList-Body"/>
      </w:pPr>
      <w:r>
        <w:t>Cada encomenda do Microsoft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257" w:name="_Sec888"/>
      <w:r>
        <w:t>Microsoft MultiFactor Authentication (Plano)</w:t>
      </w:r>
      <w:bookmarkEnd w:id="257"/>
      <w:r>
        <w:fldChar w:fldCharType="begin"/>
      </w:r>
      <w:r>
        <w:instrText xml:space="preserve"> TC "</w:instrText>
      </w:r>
      <w:bookmarkStart w:id="258" w:name="_Toc452110505"/>
      <w:r>
        <w:instrText>Microsoft MultiFactor Authentication (Plano)</w:instrText>
      </w:r>
      <w:bookmarkEnd w:id="258"/>
      <w:r>
        <w:instrText>" \l 3</w:instrText>
      </w:r>
      <w:r>
        <w:fldChar w:fldCharType="end"/>
      </w:r>
    </w:p>
    <w:p w:rsidR="00D87CDE" w:rsidRDefault="00AC602F">
      <w:pPr>
        <w:pStyle w:val="ProductList-Offering1SubSection"/>
        <w:outlineLvl w:val="3"/>
      </w:pPr>
      <w:bookmarkStart w:id="259" w:name="_Sec889"/>
      <w:r>
        <w:t>1. Disponibilidade do Programa</w:t>
      </w:r>
      <w:bookmarkEnd w:id="259"/>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none" w:sz="4" w:space="0" w:color="BFBFBF"/>
              <w:right w:val="none" w:sz="4" w:space="0" w:color="6E6E6E"/>
            </w:tcBorders>
          </w:tcPr>
          <w:p w:rsidR="00D87CDE" w:rsidRDefault="00AC602F">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3"/>
      </w:pPr>
      <w:bookmarkStart w:id="260" w:name="_Sec890"/>
      <w:r>
        <w:t>2. Condições do Produto</w:t>
      </w:r>
      <w:bookmarkEnd w:id="260"/>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52110506"/>
      <w:r>
        <w:instrText>Microsoft Cloud App Security</w:instrText>
      </w:r>
      <w:bookmarkEnd w:id="262"/>
      <w:r>
        <w:instrText>" \l 3</w:instrText>
      </w:r>
      <w:r>
        <w:fldChar w:fldCharType="end"/>
      </w:r>
    </w:p>
    <w:p w:rsidR="00D87CDE" w:rsidRDefault="00AC602F">
      <w:pPr>
        <w:pStyle w:val="ProductList-Offering1SubSection"/>
        <w:outlineLvl w:val="3"/>
      </w:pPr>
      <w:bookmarkStart w:id="263" w:name="_Sec914"/>
      <w:r>
        <w:t>1. Disponibilidade do Programa</w:t>
      </w:r>
      <w:bookmarkEnd w:id="263"/>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t>Cloud App Security (SL de Utilizador)</w:t>
            </w:r>
          </w:p>
        </w:tc>
        <w:tc>
          <w:tcPr>
            <w:tcW w:w="86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Cloud App Security K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D87CDE">
      <w:pPr>
        <w:pStyle w:val="ProductList-Body"/>
      </w:pPr>
    </w:p>
    <w:p w:rsidR="00D87CDE" w:rsidRDefault="00D87CDE">
      <w:pPr>
        <w:pStyle w:val="ProductList-Body"/>
      </w:pPr>
    </w:p>
    <w:p w:rsidR="00D87CDE" w:rsidRDefault="00AC602F">
      <w:pPr>
        <w:pStyle w:val="ProductList-Offering1SubSection"/>
        <w:outlineLvl w:val="3"/>
      </w:pPr>
      <w:bookmarkStart w:id="264" w:name="_Sec916"/>
      <w:r>
        <w:t>2. Condições do Produto</w:t>
      </w:r>
      <w:bookmarkEnd w:id="264"/>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10507"/>
      <w:r>
        <w:instrText>Microsoft Azure StorSimple</w:instrText>
      </w:r>
      <w:bookmarkEnd w:id="266"/>
      <w:r>
        <w:instrText>" \l 3</w:instrText>
      </w:r>
      <w:r>
        <w:fldChar w:fldCharType="end"/>
      </w:r>
    </w:p>
    <w:p w:rsidR="00D87CDE" w:rsidRDefault="00AC602F">
      <w:pPr>
        <w:pStyle w:val="ProductList-Offering1SubSection"/>
        <w:outlineLvl w:val="3"/>
      </w:pPr>
      <w:bookmarkStart w:id="267" w:name="_Sec910"/>
      <w:r>
        <w:t>1. Disponibilidade do Programa</w:t>
      </w:r>
      <w:bookmarkEnd w:id="267"/>
    </w:p>
    <w:tbl>
      <w:tblPr>
        <w:tblStyle w:val="PURTable"/>
        <w:tblW w:w="0" w:type="dxa"/>
        <w:tblLook w:val="04A0" w:firstRow="1" w:lastRow="0" w:firstColumn="1" w:lastColumn="0" w:noHBand="0" w:noVBand="1"/>
      </w:tblPr>
      <w:tblGrid>
        <w:gridCol w:w="4456"/>
        <w:gridCol w:w="810"/>
        <w:gridCol w:w="780"/>
        <w:gridCol w:w="795"/>
        <w:gridCol w:w="706"/>
        <w:gridCol w:w="828"/>
        <w:gridCol w:w="821"/>
        <w:gridCol w:w="800"/>
        <w:gridCol w:w="788"/>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t>Compromisso Monetário StorSimple</w:t>
            </w:r>
            <w:r>
              <w:fldChar w:fldCharType="begin"/>
            </w:r>
            <w:r>
              <w:instrText xml:space="preserve"> XE "Compromisso Monetário StorSimple" </w:instrText>
            </w:r>
            <w:r>
              <w:fldChar w:fldCharType="end"/>
            </w:r>
            <w:r>
              <w:t>-1 (dispositivo 8100)</w:t>
            </w:r>
          </w:p>
        </w:tc>
        <w:tc>
          <w:tcPr>
            <w:tcW w:w="860" w:type="dxa"/>
            <w:tcBorders>
              <w:top w:val="single" w:sz="6" w:space="0" w:color="FFFFF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Compromisso Monetário StorSimple</w:t>
            </w:r>
            <w:r>
              <w:fldChar w:fldCharType="begin"/>
            </w:r>
            <w:r>
              <w:instrText xml:space="preserve"> XE "Compromisso Monetário StorSimple" </w:instrText>
            </w:r>
            <w:r>
              <w:fldChar w:fldCharType="end"/>
            </w:r>
            <w:r>
              <w:t>-2 (dispositivo 8600)</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Suporte Padrão StorSimple</w:t>
            </w:r>
            <w:r>
              <w:fldChar w:fldCharType="begin"/>
            </w:r>
            <w:r>
              <w:instrText xml:space="preserve"> XE "Suporte Padrão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Suporte Padrão StorSimple para Suporte Premium</w:t>
            </w:r>
            <w:r>
              <w:fldChar w:fldCharType="begin"/>
            </w:r>
            <w:r>
              <w:instrText xml:space="preserve"> XE "Suporte Padrão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Suporte StorSimple Premium</w:t>
            </w:r>
            <w:r>
              <w:fldChar w:fldCharType="begin"/>
            </w:r>
            <w:r>
              <w:instrText xml:space="preserve"> XE "Suporte StorSimple Premium"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3"/>
      </w:pPr>
      <w:bookmarkStart w:id="268" w:name="_Sec911"/>
      <w:r>
        <w:t>2. Condições do Produto</w:t>
      </w:r>
      <w:bookmarkEnd w:id="268"/>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r>
    </w:tbl>
    <w:p w:rsidR="00D87CDE" w:rsidRDefault="00D87CDE">
      <w:pPr>
        <w:pStyle w:val="ProductList-Body"/>
      </w:pPr>
    </w:p>
    <w:p w:rsidR="00D87CDE" w:rsidRDefault="00AC602F">
      <w:pPr>
        <w:pStyle w:val="ProductList-ClauseHeading"/>
        <w:outlineLvl w:val="4"/>
      </w:pPr>
      <w:r>
        <w:t>2.1 Ofertas de Compromisso Monetário StorSimple</w:t>
      </w:r>
    </w:p>
    <w:p w:rsidR="00D87CDE" w:rsidRDefault="00AC602F">
      <w:pPr>
        <w:pStyle w:val="ProductList-Body"/>
      </w:pPr>
      <w:r>
        <w:t xml:space="preserve">Por cada Oferta de Compromisso Monetário StorSimple adquirida,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F - Termos de Matriz de Armazenamento</w:t>
        </w:r>
      </w:hyperlink>
      <w:r>
        <w:t>.</w:t>
      </w:r>
    </w:p>
    <w:p w:rsidR="00D87CDE" w:rsidRDefault="00D87CDE">
      <w:pPr>
        <w:pStyle w:val="ProductList-Body"/>
      </w:pPr>
    </w:p>
    <w:p w:rsidR="00D87CDE" w:rsidRDefault="00AC602F">
      <w:pPr>
        <w:pStyle w:val="ProductList-ClauseHeading"/>
        <w:outlineLvl w:val="4"/>
      </w:pPr>
      <w:r>
        <w:t>2.2 Ofertas de Suporte Microsoft StorSimple</w:t>
      </w:r>
    </w:p>
    <w:p w:rsidR="00D87CDE" w:rsidRDefault="00AC602F">
      <w:pPr>
        <w:pStyle w:val="ProductList-Body"/>
      </w:pPr>
      <w:r>
        <w:t>Os detalhes sobre ofertas de suporte para o StorSimple estão disponíveis em https://msdn.microsoft.com/en-US/library/mt433077(TechNet.10).aspx.</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110508"/>
      <w:r>
        <w:instrText>Enterprise Cloud Suite</w:instrText>
      </w:r>
      <w:bookmarkEnd w:id="270"/>
      <w:r>
        <w:instrText>" \l 2</w:instrText>
      </w:r>
      <w:r>
        <w:fldChar w:fldCharType="end"/>
      </w:r>
    </w:p>
    <w:p w:rsidR="00D87CDE" w:rsidRDefault="00AC602F">
      <w:pPr>
        <w:pStyle w:val="ProductList-Offering1SubSection"/>
        <w:outlineLvl w:val="2"/>
      </w:pPr>
      <w:bookmarkStart w:id="271" w:name="_Sec713"/>
      <w:r>
        <w:t>1. Disponibilidade do Programa</w:t>
      </w:r>
      <w:bookmarkEnd w:id="271"/>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t>Enterprise Cloud Suite</w:t>
            </w:r>
            <w:r>
              <w:fldChar w:fldCharType="begin"/>
            </w:r>
            <w:r>
              <w:instrText xml:space="preserve"> XE "Enterprise Cloud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Suplemento do Enterprise Cloud Suite</w:t>
            </w:r>
            <w:r>
              <w:fldChar w:fldCharType="begin"/>
            </w:r>
            <w:r>
              <w:instrText xml:space="preserve"> XE "Suplemento do Enterprise Cloud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Enterprise Cloud Suite de SA Existente</w:t>
            </w:r>
            <w:r>
              <w:fldChar w:fldCharType="begin"/>
            </w:r>
            <w:r>
              <w:instrText xml:space="preserve"> XE "Enterprise Cloud Suite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2"/>
      </w:pPr>
      <w:bookmarkStart w:id="272" w:name="_Sec768"/>
      <w:r>
        <w:t>2. Condições do Produto</w:t>
      </w:r>
      <w:bookmarkEnd w:id="272"/>
    </w:p>
    <w:tbl>
      <w:tblPr>
        <w:tblStyle w:val="PURTable"/>
        <w:tblW w:w="0" w:type="dxa"/>
        <w:tblLook w:val="04A0" w:firstRow="1" w:lastRow="0" w:firstColumn="1" w:lastColumn="0" w:noHBand="0" w:noVBand="1"/>
      </w:tblPr>
      <w:tblGrid>
        <w:gridCol w:w="3599"/>
        <w:gridCol w:w="3584"/>
        <w:gridCol w:w="360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Enterprise Cloud Suite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3"/>
      </w:pPr>
      <w:r>
        <w:t>2.1 SLs de Utilizador de Suplementos e SLs de Utilizador de SA Existente</w:t>
      </w:r>
    </w:p>
    <w:p w:rsidR="00D87CDE" w:rsidRDefault="00AC602F">
      <w:pPr>
        <w:pStyle w:val="ProductList-Body"/>
      </w:pPr>
      <w:r>
        <w:t xml:space="preserve">Para adquirir uma SL de Utilizador de Suplementos do Enterprise Cloud Suite ou uma SL de Utilizador do Enterprise Cloud Suite de SA Existente, o cliente tem de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Enterprise Cloud Suite. Os componentes são: SA do Windows por Utilizador</w:t>
      </w:r>
      <w:r>
        <w:fldChar w:fldCharType="begin"/>
      </w:r>
      <w:r>
        <w:instrText xml:space="preserve"> XE "SA do Windows por Utilizador"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Consulte as subsecções SLs de Utilizador de Suplementos do Enterprise Cloud Suite e SLs de Utilizador do Enterprise Cloud Suite de SA Existente nas secções Informações Adicionais para os componentes do Enterprise Cloud Suite para informações.</w:t>
      </w:r>
    </w:p>
    <w:p w:rsidR="00D87CDE" w:rsidRDefault="00D87CDE">
      <w:pPr>
        <w:pStyle w:val="ProductList-Body"/>
      </w:pPr>
    </w:p>
    <w:p w:rsidR="00D87CDE" w:rsidRDefault="00AC602F">
      <w:pPr>
        <w:pStyle w:val="ProductList-ClauseHeading"/>
        <w:outlineLvl w:val="3"/>
      </w:pPr>
      <w:r>
        <w:t>2.2 Aquisições de SLs de Utilizador de SA Existente</w:t>
      </w:r>
    </w:p>
    <w:p w:rsidR="00D87CDE" w:rsidRDefault="00AC602F">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rsidR="00D87CDE" w:rsidRDefault="00D87CDE">
      <w:pPr>
        <w:pStyle w:val="ProductList-Body"/>
      </w:pPr>
    </w:p>
    <w:p w:rsidR="00D87CDE" w:rsidRDefault="00AC602F">
      <w:pPr>
        <w:pStyle w:val="ProductList-ClauseHeading"/>
        <w:outlineLvl w:val="3"/>
      </w:pPr>
      <w:r>
        <w:t>2.3 Benefícios de SA para SLs de Utilizador do Enterprise Cloud Suite de SA Existente</w:t>
      </w:r>
    </w:p>
    <w:p w:rsidR="00D87CDE" w:rsidRDefault="00AC602F">
      <w:pPr>
        <w:pStyle w:val="ProductList-Body"/>
      </w:pPr>
      <w:r>
        <w:t>As SLs de Utilizador do Enterprise Cloud Suite de SA Existente fornecem os mesmos Benefícios de SA que os componentes de SA Existente da SL de Utilizador do Enterprise Cloud Suite de SA Existente (Office 365 E3 de SA Existente</w:t>
      </w:r>
      <w:r>
        <w:fldChar w:fldCharType="begin"/>
      </w:r>
      <w:r>
        <w:instrText xml:space="preserve"> XE "Office 365 E3 de SA Existente" </w:instrText>
      </w:r>
      <w:r>
        <w:fldChar w:fldCharType="end"/>
      </w:r>
      <w:r>
        <w:t>, Enterprise Mobility Suite de SA Existente</w:t>
      </w:r>
      <w:r>
        <w:fldChar w:fldCharType="begin"/>
      </w:r>
      <w:r>
        <w:instrText xml:space="preserve"> XE "Enterprise Mobility Suite de SA Existente" </w:instrText>
      </w:r>
      <w:r>
        <w:fldChar w:fldCharType="end"/>
      </w:r>
      <w:r>
        <w:t xml:space="preserve"> e Atualização e SA do Windows 8.1 Enterprise Por Utilizador (de SA Existente)</w:t>
      </w:r>
      <w:r>
        <w:fldChar w:fldCharType="begin"/>
      </w:r>
      <w:r>
        <w:instrText xml:space="preserve"> XE "Atualização e SA do Windows 8.1 Enterprise Por Utilizador (de SA Existente)" </w:instrText>
      </w:r>
      <w:r>
        <w:fldChar w:fldCharType="end"/>
      </w:r>
      <w:r>
        <w:t>).</w:t>
      </w:r>
    </w:p>
    <w:p w:rsidR="00D87CDE" w:rsidRDefault="00D87CDE">
      <w:pPr>
        <w:pStyle w:val="ProductList-Body"/>
      </w:pPr>
    </w:p>
    <w:p w:rsidR="00D87CDE" w:rsidRDefault="00AC602F">
      <w:pPr>
        <w:pStyle w:val="ProductList-ClauseHeading"/>
        <w:outlineLvl w:val="3"/>
      </w:pPr>
      <w:r>
        <w:t>2.4 Serviço em Nuvem da Comunidade Pública dos EUA</w:t>
      </w:r>
    </w:p>
    <w:p w:rsidR="00D87CDE" w:rsidRDefault="00AC602F">
      <w:pPr>
        <w:pStyle w:val="ProductList-Body"/>
      </w:pPr>
      <w:r>
        <w:t xml:space="preserve">Para os conjuntos de aplicações do Office 365 Administração Pública identificados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1HeadingNoBorder"/>
        <w:outlineLvl w:val="1"/>
      </w:pPr>
      <w:bookmarkStart w:id="273" w:name="_Sec630"/>
      <w:r>
        <w:t>Microsoft Intune</w:t>
      </w:r>
      <w:bookmarkEnd w:id="273"/>
      <w:r>
        <w:fldChar w:fldCharType="begin"/>
      </w:r>
      <w:r>
        <w:instrText xml:space="preserve"> TC "</w:instrText>
      </w:r>
      <w:bookmarkStart w:id="274" w:name="_Toc452110509"/>
      <w:r>
        <w:instrText>Microsoft Intune</w:instrText>
      </w:r>
      <w:bookmarkEnd w:id="274"/>
      <w:r>
        <w:instrText>" \l 2</w:instrText>
      </w:r>
      <w:r>
        <w:fldChar w:fldCharType="end"/>
      </w:r>
    </w:p>
    <w:p w:rsidR="00D87CDE" w:rsidRDefault="00AC602F">
      <w:pPr>
        <w:pStyle w:val="ProductList-Offering1SubSection"/>
        <w:outlineLvl w:val="2"/>
      </w:pPr>
      <w:bookmarkStart w:id="275" w:name="_Sec714"/>
      <w:r>
        <w:t>1. Disponibilidade do Programa</w:t>
      </w:r>
      <w:bookmarkEnd w:id="275"/>
    </w:p>
    <w:tbl>
      <w:tblPr>
        <w:tblStyle w:val="PURTable"/>
        <w:tblW w:w="0" w:type="dxa"/>
        <w:tblLook w:val="04A0" w:firstRow="1" w:lastRow="0" w:firstColumn="1" w:lastColumn="0" w:noHBand="0" w:noVBand="1"/>
      </w:tblPr>
      <w:tblGrid>
        <w:gridCol w:w="4342"/>
        <w:gridCol w:w="913"/>
        <w:gridCol w:w="781"/>
        <w:gridCol w:w="796"/>
        <w:gridCol w:w="706"/>
        <w:gridCol w:w="829"/>
        <w:gridCol w:w="822"/>
        <w:gridCol w:w="800"/>
        <w:gridCol w:w="795"/>
      </w:tblGrid>
      <w:tr w:rsidR="00D87CD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87CDE" w:rsidRDefault="00AC602F">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4900" w:type="dxa"/>
            <w:tcBorders>
              <w:top w:val="none" w:sz="4" w:space="0" w:color="BFBFBF"/>
              <w:left w:val="none" w:sz="4" w:space="0" w:color="000000"/>
              <w:bottom w:val="dashed" w:sz="4" w:space="0" w:color="7F7F7F"/>
              <w:right w:val="none" w:sz="4" w:space="0" w:color="000000"/>
            </w:tcBorders>
          </w:tcPr>
          <w:p w:rsidR="00D87CDE" w:rsidRDefault="00AC602F">
            <w:pPr>
              <w:pStyle w:val="ProductList-TableBody"/>
            </w:pPr>
            <w:r>
              <w:t>Microsoft Intune</w:t>
            </w:r>
            <w:r>
              <w:fldChar w:fldCharType="begin"/>
            </w:r>
            <w:r>
              <w:instrText xml:space="preserve"> XE "Microsoft Intune"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900" w:type="dxa"/>
            <w:tcBorders>
              <w:top w:val="dashed" w:sz="4" w:space="0" w:color="7F7F7F"/>
              <w:left w:val="none" w:sz="4" w:space="0" w:color="6E6E6E"/>
              <w:bottom w:val="dashed" w:sz="4" w:space="0" w:color="7F7F7F"/>
              <w:right w:val="none" w:sz="4" w:space="0" w:color="6E6E6E"/>
            </w:tcBorders>
          </w:tcPr>
          <w:p w:rsidR="00D87CDE" w:rsidRDefault="00AC602F">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4900" w:type="dxa"/>
            <w:tcBorders>
              <w:top w:val="dashed" w:sz="4" w:space="0" w:color="7F7F7F"/>
              <w:left w:val="none" w:sz="4" w:space="0" w:color="6E6E6E"/>
              <w:bottom w:val="none" w:sz="4" w:space="0" w:color="BFBFBF"/>
              <w:right w:val="none" w:sz="4" w:space="0" w:color="6E6E6E"/>
            </w:tcBorders>
          </w:tcPr>
          <w:p w:rsidR="00D87CDE" w:rsidRDefault="00AC602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2"/>
      </w:pPr>
      <w:bookmarkStart w:id="276" w:name="_Sec769"/>
      <w:r>
        <w:t>2. Condições do Produto</w:t>
      </w:r>
      <w:bookmarkEnd w:id="276"/>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GroupHeading"/>
        <w:outlineLvl w:val="1"/>
      </w:pPr>
      <w:bookmarkStart w:id="277" w:name="_Sec631"/>
      <w:r>
        <w:t>Microsoft Dynamics Online Services</w:t>
      </w:r>
      <w:bookmarkEnd w:id="277"/>
      <w:r>
        <w:fldChar w:fldCharType="begin"/>
      </w:r>
      <w:r>
        <w:instrText xml:space="preserve"> TC "</w:instrText>
      </w:r>
      <w:bookmarkStart w:id="278" w:name="_Toc452110510"/>
      <w:r>
        <w:instrText>Microsoft Dynamics Online Services</w:instrText>
      </w:r>
      <w:bookmarkEnd w:id="278"/>
      <w:r>
        <w:instrText>" \l 2</w:instrText>
      </w:r>
      <w:r>
        <w:fldChar w:fldCharType="end"/>
      </w:r>
    </w:p>
    <w:p w:rsidR="00D87CDE" w:rsidRDefault="00AC602F">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10511"/>
      <w:r>
        <w:instrText>Microsoft Dynamics AX</w:instrText>
      </w:r>
      <w:bookmarkEnd w:id="280"/>
      <w:r>
        <w:instrText>" \l 3</w:instrText>
      </w:r>
      <w:r>
        <w:fldChar w:fldCharType="end"/>
      </w:r>
    </w:p>
    <w:p w:rsidR="00D87CDE" w:rsidRDefault="00AC602F">
      <w:pPr>
        <w:pStyle w:val="ProductList-Offering1SubSection"/>
        <w:outlineLvl w:val="3"/>
      </w:pPr>
      <w:bookmarkStart w:id="281" w:name="_Sec897"/>
      <w:r>
        <w:t>1. Disponibilidade do Programa</w:t>
      </w:r>
      <w:bookmarkEnd w:id="281"/>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t>Microsoft Dynamics AX Enterprise</w:t>
            </w:r>
            <w:r>
              <w:fldChar w:fldCharType="begin"/>
            </w:r>
            <w:r>
              <w:instrText xml:space="preserve"> XE "Microsoft Dynamics AX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Enterprise para SA</w:t>
            </w:r>
            <w:r>
              <w:fldChar w:fldCharType="begin"/>
            </w:r>
            <w:r>
              <w:instrText xml:space="preserve"> XE "Microsoft Dynamics AX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Task</w:t>
            </w:r>
            <w:r>
              <w:fldChar w:fldCharType="begin"/>
            </w:r>
            <w:r>
              <w:instrText xml:space="preserve"> XE "Microsoft Dynamics AX Task"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Task para SA</w:t>
            </w:r>
            <w:r>
              <w:fldChar w:fldCharType="begin"/>
            </w:r>
            <w:r>
              <w:instrText xml:space="preserve"> XE "Microsoft Dynamics AX Task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Self Serve</w:t>
            </w:r>
            <w:r>
              <w:fldChar w:fldCharType="begin"/>
            </w:r>
            <w:r>
              <w:instrText xml:space="preserve"> XE "Microsoft Dynamics AX Self Serve"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Self Serve para SA</w:t>
            </w:r>
            <w:r>
              <w:fldChar w:fldCharType="begin"/>
            </w:r>
            <w:r>
              <w:instrText xml:space="preserve"> XE "Microsoft Dynamics AX Self Serve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 xml:space="preserve">Microsoft Dynamics AX Device para SA </w:t>
            </w:r>
            <w:r>
              <w:fldChar w:fldCharType="begin"/>
            </w:r>
            <w:r>
              <w:instrText xml:space="preserve"> XE "Microsoft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Additional Storage</w:t>
            </w:r>
            <w:r>
              <w:fldChar w:fldCharType="begin"/>
            </w:r>
            <w:r>
              <w:instrText xml:space="preserve"> XE "Microsoft Dynamics AX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Retail Scale Unit</w:t>
            </w:r>
            <w:r>
              <w:fldChar w:fldCharType="begin"/>
            </w:r>
            <w:r>
              <w:instrText xml:space="preserve"> XE "Microsoft Dynamics AX Retail Scale Unit"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Sandbox Tier 2: Testes Standard Acceptance</w:t>
            </w:r>
            <w:r>
              <w:fldChar w:fldCharType="begin"/>
            </w:r>
            <w:r>
              <w:instrText xml:space="preserve"> XE "Microsoft Dynamics AX Sandbox Tier 2: Testes Standard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Sandbox Tier 3: Testes Premier Acceptance</w:t>
            </w:r>
            <w:r>
              <w:fldChar w:fldCharType="begin"/>
            </w:r>
            <w:r>
              <w:instrText xml:space="preserve"> XE "Microsoft Dynamics AX Sandbox Tier 3: Testes Premier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Microsoft Dynamics AX Sandbox Tier 4: Testes Standard Performance (SL de Suplementos)</w:t>
            </w:r>
            <w:r>
              <w:fldChar w:fldCharType="begin"/>
            </w:r>
            <w:r>
              <w:instrText xml:space="preserve"> XE "Microsoft Dynamics AX Sandbox Tier 4: Testes Standard Performance (SL de Suplementos)"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AX Sandbox Tier 5: Testes Premier Performance</w:t>
            </w:r>
            <w:r>
              <w:fldChar w:fldCharType="begin"/>
            </w:r>
            <w:r>
              <w:instrText xml:space="preserve"> XE "Microsoft Dynamics AX Sandbox Tier 5: Testes Premier Performance"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Suporte Direto Profissional do Microsoft Dynamics AX</w:t>
            </w:r>
            <w:r>
              <w:fldChar w:fldCharType="begin"/>
            </w:r>
            <w:r>
              <w:instrText xml:space="preserve"> XE "Suporte Direto Profissional do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3"/>
      </w:pPr>
      <w:bookmarkStart w:id="282" w:name="_Sec898"/>
      <w:r>
        <w:t>2. Condições do Produto</w:t>
      </w:r>
      <w:bookmarkEnd w:id="282"/>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D87C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SL de Utilizador de Suplementos</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SL de Utilizador do Microsoft Dynamics AX Self Serve para SA</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CAL de Utilizador do Microsoft Dynamics AX Task</w:t>
            </w:r>
            <w:r>
              <w:fldChar w:fldCharType="begin"/>
            </w:r>
            <w:r>
              <w:instrText xml:space="preserve"> XE "CAL de Utilizador do Microsoft Dynamics AX Task" </w:instrText>
            </w:r>
            <w:r>
              <w:fldChar w:fldCharType="end"/>
            </w:r>
            <w:r>
              <w:rPr>
                <w:i/>
                <w:vertAlign w:val="superscript"/>
              </w:rPr>
              <w:t>1</w:t>
            </w:r>
            <w:r>
              <w:t xml:space="preserve"> ou</w:t>
            </w:r>
          </w:p>
          <w:p w:rsidR="00D87CDE" w:rsidRDefault="00AC602F">
            <w:pPr>
              <w:pStyle w:val="ProductList-TableBody"/>
            </w:pPr>
            <w:r>
              <w:t>CAL de Utilizador do Microsoft Dynamics AX Task Additive</w:t>
            </w:r>
            <w:r>
              <w:fldChar w:fldCharType="begin"/>
            </w:r>
            <w:r>
              <w:instrText xml:space="preserve"> XE "CAL de Utilizador do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SL de Utilizador do Microsoft Dynamics AX Task para SA</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CAL de Dispositivo do Microsoft Dynamics AX Task</w:t>
            </w:r>
            <w:r>
              <w:fldChar w:fldCharType="begin"/>
            </w:r>
            <w:r>
              <w:instrText xml:space="preserve"> XE "CAL de Dispositivo do Microsoft Dynamics AX Task" </w:instrText>
            </w:r>
            <w:r>
              <w:fldChar w:fldCharType="end"/>
            </w:r>
            <w:r>
              <w:rPr>
                <w:i/>
                <w:vertAlign w:val="superscript"/>
              </w:rPr>
              <w:t>1</w:t>
            </w:r>
            <w:r>
              <w:t xml:space="preserve"> ou</w:t>
            </w:r>
          </w:p>
          <w:p w:rsidR="00D87CDE" w:rsidRDefault="00AC602F">
            <w:pPr>
              <w:pStyle w:val="ProductList-TableBody"/>
            </w:pPr>
            <w:r>
              <w:t>CAL de Dispositivo do Microsoft Dynamics AX Task Additive</w:t>
            </w:r>
            <w:r>
              <w:fldChar w:fldCharType="begin"/>
            </w:r>
            <w:r>
              <w:instrText xml:space="preserve"> XE "CAL de Dispositivo do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SL de Dispositivo do Microsoft Dynamics AX Task para SA</w:t>
            </w:r>
          </w:p>
          <w:p w:rsidR="00D87CDE" w:rsidRDefault="00D87CDE">
            <w:pPr>
              <w:pStyle w:val="ProductList-TableBody"/>
            </w:pP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ou </w:t>
            </w:r>
          </w:p>
          <w:p w:rsidR="00D87CDE" w:rsidRDefault="00AC602F">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ou</w:t>
            </w:r>
          </w:p>
          <w:p w:rsidR="00D87CDE" w:rsidRDefault="00AC602F">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ou</w:t>
            </w:r>
          </w:p>
          <w:p w:rsidR="00D87CDE" w:rsidRDefault="00AC602F">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SL de Utilizador do Dynamics AX Enterprise para SA</w:t>
            </w:r>
          </w:p>
        </w:tc>
      </w:tr>
    </w:tbl>
    <w:p w:rsidR="00D87CDE" w:rsidRDefault="00AC602F">
      <w:pPr>
        <w:pStyle w:val="ProductList-Body"/>
      </w:pPr>
      <w:r>
        <w:rPr>
          <w:i/>
          <w:vertAlign w:val="superscript"/>
        </w:rPr>
        <w:t>1</w:t>
      </w:r>
      <w:r>
        <w:rPr>
          <w:i/>
        </w:rPr>
        <w:t>Com SA ativa</w:t>
      </w:r>
    </w:p>
    <w:p w:rsidR="00D87CDE" w:rsidRDefault="00D87CDE">
      <w:pPr>
        <w:pStyle w:val="ProductList-Body"/>
      </w:pPr>
    </w:p>
    <w:p w:rsidR="00D87CDE" w:rsidRDefault="00AC602F">
      <w:pPr>
        <w:pStyle w:val="ProductList-ClauseHeading"/>
        <w:outlineLvl w:val="4"/>
      </w:pPr>
      <w:r>
        <w:t>2.2 Ofertas de Suporte do Microsoft Dynamics AX</w:t>
      </w:r>
    </w:p>
    <w:p w:rsidR="00D87CDE" w:rsidRDefault="00AC602F">
      <w:pPr>
        <w:pStyle w:val="ProductList-Body"/>
      </w:pPr>
      <w:r>
        <w:t xml:space="preserve">Os detalhes sobre ofertas de suporte para o Microsoft Dynamics AX estão disponíveis em </w:t>
      </w:r>
      <w:hyperlink r:id="rId102">
        <w:r>
          <w:rPr>
            <w:color w:val="00467F"/>
            <w:u w:val="single"/>
          </w:rPr>
          <w:t>http://www.microsoft.com/en-us/dynamics/dynamics-online-support.aspx</w:t>
        </w:r>
      </w:hyperlink>
      <w:r>
        <w:t xml:space="preserve">. </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10512"/>
      <w:r>
        <w:instrText>Microsoft Dynamics CRM Online</w:instrText>
      </w:r>
      <w:bookmarkEnd w:id="284"/>
      <w:r>
        <w:instrText>" \l 3</w:instrText>
      </w:r>
      <w:r>
        <w:fldChar w:fldCharType="end"/>
      </w:r>
    </w:p>
    <w:p w:rsidR="00D87CDE" w:rsidRDefault="00AC602F">
      <w:pPr>
        <w:pStyle w:val="ProductList-Offering1SubSection"/>
        <w:outlineLvl w:val="3"/>
      </w:pPr>
      <w:bookmarkStart w:id="285" w:name="_Sec715"/>
      <w:r>
        <w:t>1. Disponibilidade do Programa</w:t>
      </w:r>
      <w:bookmarkEnd w:id="285"/>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t>Microsoft Dynamics CRM Online Essential</w:t>
            </w:r>
            <w:r>
              <w:fldChar w:fldCharType="begin"/>
            </w:r>
            <w:r>
              <w:instrText xml:space="preserve"> XE "Microsoft Dynamics CRM Online Essential"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CRM Online Basic</w:t>
            </w:r>
            <w:r>
              <w:fldChar w:fldCharType="begin"/>
            </w:r>
            <w:r>
              <w:instrText xml:space="preserve"> XE "Microsoft Dynamics CRM Online Basic"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Suplemento do Microsoft Dynamics CRM Online Professional para Office 365</w:t>
            </w:r>
            <w:r>
              <w:fldChar w:fldCharType="begin"/>
            </w:r>
            <w:r>
              <w:instrText xml:space="preserve"> XE "Suplemento do Microsoft Dynamics CRM Online Professional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Suplemento do Microsoft Dynamics CRM Online Professional para Office 365 de SA Existente</w:t>
            </w:r>
            <w:r>
              <w:fldChar w:fldCharType="begin"/>
            </w:r>
            <w:r>
              <w:instrText xml:space="preserve"> XE "Suplemento do Microsoft Dynamics CRM Online Professional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Suporte Direto Profissional do Microsoft Dynamics CRM Online</w:t>
            </w:r>
            <w:r>
              <w:fldChar w:fldCharType="begin"/>
            </w:r>
            <w:r>
              <w:instrText xml:space="preserve"> XE "Suporte Direto Profissional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CRM Online Enterprise</w:t>
            </w:r>
            <w:r>
              <w:fldChar w:fldCharType="begin"/>
            </w:r>
            <w:r>
              <w:instrText xml:space="preserve"> XE "Microsoft Dynamics CRM Online Enterprise"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Suporte Avançado do Microsoft Dynamics CRM Online</w:t>
            </w:r>
            <w:r>
              <w:fldChar w:fldCharType="begin"/>
            </w:r>
            <w:r>
              <w:instrText xml:space="preserve"> XE "Suporte Avançado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Microsoft Dynamics CRM Online Additional Portal Page Views (SL de Suplemento)</w:t>
            </w:r>
            <w:r>
              <w:fldChar w:fldCharType="begin"/>
            </w:r>
            <w:r>
              <w:instrText xml:space="preserve"> XE "Microsoft Dynamics CRM Online Additional Portal Page Views (SL de Suplemento)"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Prestação de Serviços do Microsoft Dynamics CRM Online (SL de Utilizador)</w:t>
            </w:r>
            <w:r>
              <w:fldChar w:fldCharType="begin"/>
            </w:r>
            <w:r>
              <w:instrText xml:space="preserve"> XE "Prestação de Serviços do Microsoft Dynamics CRM Online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CRM Online Portal</w:t>
            </w:r>
            <w:r>
              <w:fldChar w:fldCharType="begin"/>
            </w:r>
            <w:r>
              <w:instrText xml:space="preserve"> XE "Microsoft Dynamics CRM Online Portal"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Microsoft Dynamics Employee Self Service (SL de Utilizador)</w:t>
            </w:r>
            <w:r>
              <w:fldChar w:fldCharType="begin"/>
            </w:r>
            <w:r>
              <w:instrText xml:space="preserve"> XE "Microsoft Dynamics Employee Self Service (SL de Utilizador)"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286" w:name="_Sec770"/>
      <w:r>
        <w:t>2. Condições do Produto</w:t>
      </w:r>
      <w:bookmarkEnd w:id="286"/>
    </w:p>
    <w:tbl>
      <w:tblPr>
        <w:tblStyle w:val="PURTable"/>
        <w:tblW w:w="0" w:type="dxa"/>
        <w:tblLook w:val="04A0" w:firstRow="1" w:lastRow="0" w:firstColumn="1" w:lastColumn="0" w:noHBand="0" w:noVBand="1"/>
      </w:tblPr>
      <w:tblGrid>
        <w:gridCol w:w="3594"/>
        <w:gridCol w:w="3595"/>
        <w:gridCol w:w="3601"/>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Suplemento do Microsoft Dynamics CRM Online Professional para Office 365, Suplemento do Microsoft Dynamics CRM Online Professional para Office 365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D87C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SL de Utilizador de Suplementos</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Dynamics CRM Online Essentials for SA User SL</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ou</w:t>
            </w:r>
          </w:p>
          <w:p w:rsidR="00D87CDE" w:rsidRDefault="00AC602F">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Dynamics CRM Online Basic for SA User SL</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ou</w:t>
            </w:r>
          </w:p>
          <w:p w:rsidR="00D87CDE" w:rsidRDefault="00AC602F">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Dynamics CRM Online Professional for SA User SL</w:t>
            </w:r>
          </w:p>
          <w:p w:rsidR="00D87CDE" w:rsidRDefault="00AC602F">
            <w:pPr>
              <w:pStyle w:val="ProductList-TableBody"/>
            </w:pPr>
            <w:r>
              <w:t>Dynamics CRM Online Enterprise for SA User SL</w:t>
            </w:r>
          </w:p>
        </w:tc>
      </w:tr>
    </w:tbl>
    <w:p w:rsidR="00D87CDE" w:rsidRDefault="00AC602F">
      <w:pPr>
        <w:pStyle w:val="ProductList-Body"/>
      </w:pPr>
      <w:r>
        <w:rPr>
          <w:i/>
          <w:vertAlign w:val="superscript"/>
        </w:rPr>
        <w:t>1</w:t>
      </w:r>
      <w:r>
        <w:rPr>
          <w:i/>
        </w:rPr>
        <w:t>Com SA ativa</w:t>
      </w:r>
    </w:p>
    <w:p w:rsidR="00D87CDE" w:rsidRDefault="00D87CDE">
      <w:pPr>
        <w:pStyle w:val="ProductList-Body"/>
      </w:pPr>
    </w:p>
    <w:p w:rsidR="00D87CDE" w:rsidRDefault="00AC602F">
      <w:pPr>
        <w:pStyle w:val="ProductList-ClauseHeading"/>
        <w:outlineLvl w:val="4"/>
      </w:pPr>
      <w:r>
        <w:t>2.2 Microsoft Dynamics CRM Online Professional for Government</w:t>
      </w:r>
    </w:p>
    <w:p w:rsidR="00D87CDE" w:rsidRDefault="00AC602F">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for Government.</w:t>
      </w:r>
    </w:p>
    <w:p w:rsidR="00D87CDE" w:rsidRDefault="00D87CDE">
      <w:pPr>
        <w:pStyle w:val="ProductList-Body"/>
      </w:pPr>
    </w:p>
    <w:p w:rsidR="00D87CDE" w:rsidRDefault="00AC602F">
      <w:pPr>
        <w:pStyle w:val="ProductList-ClauseHeading"/>
        <w:outlineLvl w:val="4"/>
      </w:pPr>
      <w:r>
        <w:t>2.3 Ofertas de Suporte do Microsoft Dynamics CRM Online</w:t>
      </w:r>
    </w:p>
    <w:p w:rsidR="00D87CDE" w:rsidRDefault="00AC602F">
      <w:pPr>
        <w:pStyle w:val="ProductList-Body"/>
      </w:pPr>
      <w:r>
        <w:t xml:space="preserve">Os detalhes sobre ofertas de suporte para o Microsoft Dynamics CRM Online estão disponíveis em </w:t>
      </w:r>
      <w:hyperlink r:id="rId104">
        <w:r>
          <w:rPr>
            <w:color w:val="00467F"/>
            <w:u w:val="single"/>
          </w:rPr>
          <w:t>http://www.microsoft.com/en-us/dynamics/dynamics-online-support.aspx</w:t>
        </w:r>
      </w:hyperlink>
      <w:r>
        <w:t xml:space="preserve">. </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10513"/>
      <w:r>
        <w:instrText>Microsoft Dynamics Marketing</w:instrText>
      </w:r>
      <w:bookmarkEnd w:id="288"/>
      <w:r>
        <w:instrText>" \l 3</w:instrText>
      </w:r>
      <w:r>
        <w:fldChar w:fldCharType="end"/>
      </w:r>
    </w:p>
    <w:p w:rsidR="00D87CDE" w:rsidRDefault="00AC602F">
      <w:pPr>
        <w:pStyle w:val="ProductList-Offering1SubSection"/>
        <w:outlineLvl w:val="3"/>
      </w:pPr>
      <w:bookmarkStart w:id="289" w:name="_Sec716"/>
      <w:r>
        <w:t>1. Disponibilidade do Programa</w:t>
      </w:r>
      <w:bookmarkEnd w:id="289"/>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t>Microsoft Dynamics Marketing Enterprise</w:t>
            </w:r>
            <w:r>
              <w:fldChar w:fldCharType="begin"/>
            </w:r>
            <w:r>
              <w:instrText xml:space="preserve"> XE "Microsoft Dynamics Marketing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Suporte Avançado do Microsoft Dynamics Marketing</w:t>
            </w:r>
            <w:r>
              <w:fldChar w:fldCharType="begin"/>
            </w:r>
            <w:r>
              <w:instrText xml:space="preserve"> XE "Suporte Avançado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Suporte Direto Profissional do Microsoft Dynamics Marketing</w:t>
            </w:r>
            <w:r>
              <w:fldChar w:fldCharType="begin"/>
            </w:r>
            <w:r>
              <w:instrText xml:space="preserve"> XE "Suporte Direto Profissional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none"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Microsoft Dynamics Marketing SMS Credit (SL de Suplementos)</w:t>
            </w:r>
            <w:r>
              <w:fldChar w:fldCharType="begin"/>
            </w:r>
            <w:r>
              <w:instrText xml:space="preserve"> XE "Microsoft Dynamics Marketing SMS Credit (SL de Suplementos)"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290" w:name="_Sec771"/>
      <w:r>
        <w:t>2. Condições do Produto</w:t>
      </w:r>
      <w:bookmarkEnd w:id="290"/>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Benefício Utilização por Estudantes: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Ofertas de Suporte do Microsoft Dynamics Marketing</w:t>
      </w:r>
    </w:p>
    <w:p w:rsidR="00D87CDE" w:rsidRDefault="00AC602F">
      <w:pPr>
        <w:pStyle w:val="ProductList-Body"/>
      </w:pPr>
      <w:r>
        <w:t xml:space="preserve">Os detalhes sobre ofertas de suporte para o Microsoft Dynamics Marketing estão disponíveis em </w:t>
      </w:r>
      <w:hyperlink r:id="rId106">
        <w:r>
          <w:rPr>
            <w:color w:val="00467F"/>
            <w:u w:val="single"/>
          </w:rPr>
          <w:t>http://www.microsoft.com/en-us/dynamics/dynamics-online-support.aspx</w:t>
        </w:r>
      </w:hyperlink>
      <w:r>
        <w:t xml:space="preserve">. </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10514"/>
      <w:r>
        <w:instrText>Microsoft Social Engagement</w:instrText>
      </w:r>
      <w:bookmarkEnd w:id="292"/>
      <w:r>
        <w:instrText>" \l 3</w:instrText>
      </w:r>
      <w:r>
        <w:fldChar w:fldCharType="end"/>
      </w:r>
    </w:p>
    <w:p w:rsidR="00D87CDE" w:rsidRDefault="00AC602F">
      <w:pPr>
        <w:pStyle w:val="ProductList-Offering1SubSection"/>
        <w:outlineLvl w:val="3"/>
      </w:pPr>
      <w:bookmarkStart w:id="293" w:name="_Sec717"/>
      <w:r>
        <w:t>1. Disponibilidade do Programa</w:t>
      </w:r>
      <w:bookmarkEnd w:id="293"/>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t>Microsoft Social Engagement Professional</w:t>
            </w:r>
            <w:r>
              <w:fldChar w:fldCharType="begin"/>
            </w:r>
            <w:r>
              <w:instrText xml:space="preserve"> XE "Microsoft Social Engagement Professional"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Suporte Avançado do Microsoft Social Engagement</w:t>
            </w:r>
            <w:r>
              <w:fldChar w:fldCharType="begin"/>
            </w:r>
            <w:r>
              <w:instrText xml:space="preserve"> XE "Suporte Avançado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Suporte Direto Profissional do Microsoft Social Engagement</w:t>
            </w:r>
            <w:r>
              <w:fldChar w:fldCharType="begin"/>
            </w:r>
            <w:r>
              <w:instrText xml:space="preserve"> XE "Suporte Direto Profissional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Microsoft Social Engagement Enterprise</w:t>
            </w:r>
            <w:r>
              <w:fldChar w:fldCharType="begin"/>
            </w:r>
            <w:r>
              <w:instrText xml:space="preserve"> XE "Microsoft Social Engagement Enterprise"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3"/>
      </w:pPr>
      <w:bookmarkStart w:id="294" w:name="_Sec772"/>
      <w:r>
        <w:t>2. Condições do Produto</w:t>
      </w:r>
      <w:bookmarkEnd w:id="294"/>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D87C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SL de Utilizador de Suplementos</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Social Engagement Professional Add-on</w:t>
            </w:r>
          </w:p>
          <w:p w:rsidR="00D87CDE" w:rsidRDefault="00AC602F">
            <w:pPr>
              <w:pStyle w:val="ProductList-TableBody"/>
            </w:pPr>
            <w:r>
              <w:t>Microsoft Social Engagement Professional Additional Posts</w:t>
            </w:r>
          </w:p>
          <w:p w:rsidR="00D87CDE" w:rsidRDefault="00AC602F">
            <w:pPr>
              <w:pStyle w:val="ProductList-TableBody"/>
            </w:pPr>
            <w:r>
              <w:t>Microsoft Social Engagement Professional Education Additional Posts</w:t>
            </w:r>
          </w:p>
        </w:tc>
      </w:tr>
    </w:tbl>
    <w:p w:rsidR="00D87CDE" w:rsidRDefault="00AC602F">
      <w:pPr>
        <w:pStyle w:val="ProductList-Body"/>
      </w:pPr>
      <w:r>
        <w:rPr>
          <w:i/>
          <w:vertAlign w:val="superscript"/>
        </w:rPr>
        <w:t>1</w:t>
      </w:r>
      <w:r>
        <w:rPr>
          <w:i/>
        </w:rPr>
        <w:t>Cada Licença Qualificável tem de ter SA ativa</w:t>
      </w:r>
    </w:p>
    <w:p w:rsidR="00D87CDE" w:rsidRDefault="00D87CDE">
      <w:pPr>
        <w:pStyle w:val="ProductList-Body"/>
      </w:pPr>
    </w:p>
    <w:p w:rsidR="00D87CDE" w:rsidRDefault="00AC602F">
      <w:pPr>
        <w:pStyle w:val="ProductList-ClauseHeading"/>
        <w:outlineLvl w:val="4"/>
      </w:pPr>
      <w:r>
        <w:t>2.2 Ofertas de Suporte do Microsoft Social Engagement</w:t>
      </w:r>
    </w:p>
    <w:p w:rsidR="00D87CDE" w:rsidRDefault="00AC602F">
      <w:pPr>
        <w:pStyle w:val="ProductList-Body"/>
      </w:pPr>
      <w:r>
        <w:t xml:space="preserve">Os detalhes sobre ofertas de suporte para o Microsoft Social Engagement estão disponíveis em </w:t>
      </w:r>
      <w:hyperlink r:id="rId108">
        <w:r>
          <w:rPr>
            <w:color w:val="00467F"/>
            <w:u w:val="single"/>
          </w:rPr>
          <w:t>http://www.microsoft.com/en-us/dynamics/dynamics-online-support.aspx</w:t>
        </w:r>
      </w:hyperlink>
      <w:r>
        <w:t xml:space="preserve">. </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295" w:name="_Sec664"/>
      <w:r>
        <w:t>Parature, da Microsoft</w:t>
      </w:r>
      <w:bookmarkEnd w:id="295"/>
      <w:r>
        <w:fldChar w:fldCharType="begin"/>
      </w:r>
      <w:r>
        <w:instrText xml:space="preserve"> TC "</w:instrText>
      </w:r>
      <w:bookmarkStart w:id="296" w:name="_Toc452110515"/>
      <w:r>
        <w:instrText>Parature, da Microsoft</w:instrText>
      </w:r>
      <w:bookmarkEnd w:id="296"/>
      <w:r>
        <w:instrText>" \l 3</w:instrText>
      </w:r>
      <w:r>
        <w:fldChar w:fldCharType="end"/>
      </w:r>
    </w:p>
    <w:p w:rsidR="00D87CDE" w:rsidRDefault="00AC602F">
      <w:pPr>
        <w:pStyle w:val="ProductList-Offering1SubSection"/>
        <w:outlineLvl w:val="3"/>
      </w:pPr>
      <w:bookmarkStart w:id="297" w:name="_Sec718"/>
      <w:r>
        <w:t>1. Disponibilidade do Programa</w:t>
      </w:r>
      <w:bookmarkEnd w:id="297"/>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t>Parature Enterprise</w:t>
            </w:r>
            <w:r>
              <w:fldChar w:fldCharType="begin"/>
            </w:r>
            <w:r>
              <w:instrText xml:space="preserve"> XE "Parature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Parature Additional Records</w:t>
            </w:r>
            <w:r>
              <w:fldChar w:fldCharType="begin"/>
            </w:r>
            <w:r>
              <w:instrText xml:space="preserve"> XE "Parature Additional Records"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Parature Additional Page Views</w:t>
            </w:r>
            <w:r>
              <w:fldChar w:fldCharType="begin"/>
            </w:r>
            <w:r>
              <w:instrText xml:space="preserve"> XE "Parature Additional Page Views"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Parature Additional Departments</w:t>
            </w:r>
            <w:r>
              <w:fldChar w:fldCharType="begin"/>
            </w:r>
            <w:r>
              <w:instrText xml:space="preserve"> XE "Parature Additional Departments"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Parature Additional File Storage</w:t>
            </w:r>
            <w:r>
              <w:fldChar w:fldCharType="begin"/>
            </w:r>
            <w:r>
              <w:instrText xml:space="preserve"> XE "Parature Additional File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Suporte Avançado do Parature</w:t>
            </w:r>
            <w:r>
              <w:fldChar w:fldCharType="begin"/>
            </w:r>
            <w:r>
              <w:instrText xml:space="preserve"> XE "Suporte Avançado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Suporte Direto Profissional do Parature</w:t>
            </w:r>
            <w:r>
              <w:fldChar w:fldCharType="begin"/>
            </w:r>
            <w:r>
              <w:instrText xml:space="preserve"> XE "Suporte Direto Profissional do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3"/>
      </w:pPr>
      <w:bookmarkStart w:id="298" w:name="_Sec773"/>
      <w:r>
        <w:t>2. Condições do Produto</w:t>
      </w:r>
      <w:bookmarkEnd w:id="298"/>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Ofertas de Suporte do Parature</w:t>
      </w:r>
    </w:p>
    <w:p w:rsidR="00D87CDE" w:rsidRDefault="00AC602F">
      <w:pPr>
        <w:pStyle w:val="ProductList-Body"/>
      </w:pPr>
      <w:r>
        <w:t xml:space="preserve">Os detalhes sobre ofertas de suporte para o Parature estão disponíveis em </w:t>
      </w:r>
      <w:hyperlink r:id="rId110">
        <w:r>
          <w:rPr>
            <w:color w:val="00467F"/>
            <w:u w:val="single"/>
          </w:rPr>
          <w:t>http://www.microsoft.com/en-us/dynamics/dynamics-online-support.aspx</w:t>
        </w:r>
      </w:hyperlink>
      <w:r>
        <w:t xml:space="preserve">. </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GroupHeading"/>
        <w:outlineLvl w:val="1"/>
      </w:pPr>
      <w:bookmarkStart w:id="299" w:name="_Sec632"/>
      <w:r>
        <w:t>Serviços do Office 365</w:t>
      </w:r>
      <w:bookmarkEnd w:id="299"/>
      <w:r>
        <w:fldChar w:fldCharType="begin"/>
      </w:r>
      <w:r>
        <w:instrText xml:space="preserve"> TC "</w:instrText>
      </w:r>
      <w:bookmarkStart w:id="300" w:name="_Toc452110516"/>
      <w:r>
        <w:instrText>Serviços do Office 365</w:instrText>
      </w:r>
      <w:bookmarkEnd w:id="300"/>
      <w:r>
        <w:instrText>" \l 2</w:instrText>
      </w:r>
      <w:r>
        <w:fldChar w:fldCharType="end"/>
      </w:r>
    </w:p>
    <w:p w:rsidR="00D87CDE" w:rsidRDefault="00AC602F">
      <w:pPr>
        <w:pStyle w:val="ProductList-Offering2HeadingNoBorder"/>
        <w:outlineLvl w:val="2"/>
      </w:pPr>
      <w:bookmarkStart w:id="301" w:name="_Sec633"/>
      <w:r>
        <w:t>Office 365 Applications</w:t>
      </w:r>
      <w:bookmarkEnd w:id="301"/>
      <w:r>
        <w:fldChar w:fldCharType="begin"/>
      </w:r>
      <w:r>
        <w:instrText xml:space="preserve"> TC "</w:instrText>
      </w:r>
      <w:bookmarkStart w:id="302" w:name="_Toc452110517"/>
      <w:r>
        <w:instrText>Office 365 Applications</w:instrText>
      </w:r>
      <w:bookmarkEnd w:id="302"/>
      <w:r>
        <w:instrText>" \l 3</w:instrText>
      </w:r>
      <w:r>
        <w:fldChar w:fldCharType="end"/>
      </w:r>
    </w:p>
    <w:p w:rsidR="00D87CDE" w:rsidRDefault="00AC602F">
      <w:pPr>
        <w:pStyle w:val="ProductList-Offering1SubSection"/>
        <w:outlineLvl w:val="3"/>
      </w:pPr>
      <w:bookmarkStart w:id="303" w:name="_Sec719"/>
      <w:r>
        <w:t>1. Disponibilidade do Programa</w:t>
      </w:r>
      <w:bookmarkEnd w:id="303"/>
    </w:p>
    <w:tbl>
      <w:tblPr>
        <w:tblStyle w:val="PURTable"/>
        <w:tblW w:w="0" w:type="dxa"/>
        <w:tblLook w:val="04A0" w:firstRow="1" w:lastRow="0" w:firstColumn="1" w:lastColumn="0" w:noHBand="0" w:noVBand="1"/>
      </w:tblPr>
      <w:tblGrid>
        <w:gridCol w:w="4431"/>
        <w:gridCol w:w="810"/>
        <w:gridCol w:w="782"/>
        <w:gridCol w:w="796"/>
        <w:gridCol w:w="706"/>
        <w:gridCol w:w="829"/>
        <w:gridCol w:w="822"/>
        <w:gridCol w:w="800"/>
        <w:gridCol w:w="808"/>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Project Online with Project Pro para Office 365</w:t>
            </w:r>
            <w:r>
              <w:fldChar w:fldCharType="begin"/>
            </w:r>
            <w:r>
              <w:instrText xml:space="preserve"> XE "Project Online with Project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Project Online com Project Pro para Office 365 de SA Existente</w:t>
            </w:r>
            <w:r>
              <w:fldChar w:fldCharType="begin"/>
            </w:r>
            <w:r>
              <w:instrText xml:space="preserve"> XE "Project Online com Project Pro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Project Pro para Office 365 de SA Existente</w:t>
            </w:r>
            <w:r>
              <w:fldChar w:fldCharType="begin"/>
            </w:r>
            <w:r>
              <w:instrText xml:space="preserve"> XE "Project Pro para Office 365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Visio Pro para Office 365 de SA Existente</w:t>
            </w:r>
            <w:r>
              <w:fldChar w:fldCharType="begin"/>
            </w:r>
            <w:r>
              <w:instrText xml:space="preserve"> XE "Visio Pro para Office 365 de SA Existente"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304" w:name="_Sec774"/>
      <w:r>
        <w:t>2. Condições do Produto</w:t>
      </w:r>
      <w:bookmarkEnd w:id="304"/>
    </w:p>
    <w:tbl>
      <w:tblPr>
        <w:tblStyle w:val="PURTable"/>
        <w:tblW w:w="0" w:type="dxa"/>
        <w:tblLook w:val="04A0" w:firstRow="1" w:lastRow="0" w:firstColumn="1" w:lastColumn="0" w:noHBand="0" w:noVBand="1"/>
      </w:tblPr>
      <w:tblGrid>
        <w:gridCol w:w="3598"/>
        <w:gridCol w:w="3586"/>
        <w:gridCol w:w="3606"/>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Project Pro para Office 365 e Visio Pro para Office 365</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Elegibilidade de Aquisição para SLs de Utilizador das Office 365 Applications de SA Existente</w:t>
      </w:r>
    </w:p>
    <w:p w:rsidR="00D87CDE" w:rsidRDefault="00AC602F">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79"/>
        <w:gridCol w:w="5411"/>
      </w:tblGrid>
      <w:tr w:rsidR="00D87C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SL de Utilizador de SA Existente correspondente</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365 ProPlus de SA Existente</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Project Pro para Office 365</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Visio Pro para Office 365</w:t>
            </w:r>
          </w:p>
        </w:tc>
      </w:tr>
    </w:tbl>
    <w:p w:rsidR="00D87CDE" w:rsidRDefault="00D87CDE">
      <w:pPr>
        <w:pStyle w:val="ProductList-Body"/>
      </w:pPr>
    </w:p>
    <w:p w:rsidR="00D87CDE" w:rsidRDefault="00AC602F">
      <w:pPr>
        <w:pStyle w:val="ProductList-ClauseHeading"/>
        <w:outlineLvl w:val="4"/>
      </w:pPr>
      <w:r>
        <w:t>2.2 Elegibilidade de Suportes de Dados para o Office 365 Pro Plus com Direitos do Windows To Go</w:t>
      </w:r>
    </w:p>
    <w:p w:rsidR="00D87CDE" w:rsidRDefault="00AC602F">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D87CDE" w:rsidRDefault="00D87CDE">
      <w:pPr>
        <w:pStyle w:val="ProductList-Body"/>
      </w:pPr>
    </w:p>
    <w:p w:rsidR="00D87CDE" w:rsidRDefault="00AC602F">
      <w:pPr>
        <w:pStyle w:val="ProductList-ClauseHeading"/>
        <w:outlineLvl w:val="4"/>
      </w:pPr>
      <w:r>
        <w:t>2.3 Contrato Campus e School, Enrollment for Education Solutions e Open Value Subscriptions – Education Solutions</w:t>
      </w:r>
    </w:p>
    <w:p w:rsidR="00D87CDE" w:rsidRDefault="00AC602F">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D87CDE" w:rsidRDefault="00D87CDE">
      <w:pPr>
        <w:pStyle w:val="ProductList-Body"/>
      </w:pPr>
    </w:p>
    <w:p w:rsidR="00D87CDE" w:rsidRDefault="00AC602F">
      <w:pPr>
        <w:pStyle w:val="ProductList-Body"/>
      </w:pPr>
      <w:r>
        <w:t>As instituições com SLs de Utilizador do Office 365 ProPlus atribuídas a todos os docentes e funcionários poderão instalar o software Office Professional Plus 2016 em qualquer laboratório de acesso livre ou biblioteca na Organização da Instituição. A utilização do software está sujeita aos termos de Licenciamento para o Office Professional Plus 2016.</w:t>
      </w:r>
    </w:p>
    <w:p w:rsidR="00D87CDE" w:rsidRDefault="00D87CDE">
      <w:pPr>
        <w:pStyle w:val="ProductList-Body"/>
      </w:pPr>
    </w:p>
    <w:p w:rsidR="00D87CDE" w:rsidRDefault="00AC602F">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As licenças adquiridas sem quaisquer custos através desta oferta não poderão ser contabilizadas tendo em conta o cumprimento dos requisitos de encomenda mínima da Instituição.</w:t>
      </w:r>
    </w:p>
    <w:p w:rsidR="00D87CDE" w:rsidRDefault="00D87CDE">
      <w:pPr>
        <w:pStyle w:val="ProductList-Body"/>
      </w:pPr>
    </w:p>
    <w:p w:rsidR="00D87CDE" w:rsidRDefault="00AC602F">
      <w:pPr>
        <w:pStyle w:val="ProductList-ClauseHeading"/>
        <w:outlineLvl w:val="4"/>
      </w:pPr>
      <w:r>
        <w:t>2.4 Office Multi Language Pack</w:t>
      </w:r>
    </w:p>
    <w:p w:rsidR="00D87CDE" w:rsidRDefault="00AC602F">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D87CDE" w:rsidRDefault="00D87CDE">
      <w:pPr>
        <w:pStyle w:val="ProductList-Body"/>
      </w:pPr>
    </w:p>
    <w:p w:rsidR="00D87CDE" w:rsidRDefault="00AC602F">
      <w:pPr>
        <w:pStyle w:val="ProductList-ClauseHeading"/>
        <w:outlineLvl w:val="4"/>
      </w:pPr>
      <w:r>
        <w:t>2.5 E-Learning</w:t>
      </w:r>
    </w:p>
    <w:p w:rsidR="00D87CDE" w:rsidRDefault="00AC602F">
      <w:pPr>
        <w:pStyle w:val="ProductList-Body"/>
      </w:pPr>
      <w:r>
        <w:t xml:space="preserve">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 </w:t>
      </w:r>
    </w:p>
    <w:p w:rsidR="00D87CDE" w:rsidRDefault="00D87CDE">
      <w:pPr>
        <w:pStyle w:val="ProductList-Body"/>
      </w:pPr>
    </w:p>
    <w:p w:rsidR="00D87CDE" w:rsidRDefault="00AC602F">
      <w:pPr>
        <w:pStyle w:val="ProductList-ClauseHeading"/>
        <w:outlineLvl w:val="4"/>
      </w:pPr>
      <w:r>
        <w:t>2.6 Office Online</w:t>
      </w:r>
    </w:p>
    <w:p w:rsidR="00D87CDE" w:rsidRDefault="00AC602F">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D87CDE" w:rsidRDefault="00D87CDE">
      <w:pPr>
        <w:pStyle w:val="ProductList-Body"/>
      </w:pPr>
    </w:p>
    <w:p w:rsidR="00D87CDE" w:rsidRDefault="00AC602F">
      <w:pPr>
        <w:pStyle w:val="ProductList-ClauseHeading"/>
        <w:outlineLvl w:val="4"/>
      </w:pPr>
      <w:r>
        <w:t>2.7 Período de Migração da Open Value Subscription</w:t>
      </w:r>
    </w:p>
    <w:p w:rsidR="00D87CDE" w:rsidRDefault="00AC602F">
      <w:pPr>
        <w:pStyle w:val="ProductList-Body"/>
      </w:pPr>
      <w:r>
        <w:t>Para cada unidade de SLs de Utilizador do Office 365 ProPlus, Midsize Business, Enterprise E3-E4 ou Education E3-E4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D87CDE" w:rsidRDefault="00D87CDE">
      <w:pPr>
        <w:pStyle w:val="ProductList-Body"/>
      </w:pPr>
    </w:p>
    <w:p w:rsidR="00D87CDE" w:rsidRDefault="00AC602F">
      <w:pPr>
        <w:pStyle w:val="ProductList-ClauseHeading"/>
        <w:outlineLvl w:val="4"/>
      </w:pPr>
      <w:r>
        <w:t>2.8 Direitos de Implementação para Project Professional 2016 e Visio Professional 2016</w:t>
      </w:r>
    </w:p>
    <w:p w:rsidR="00D87CDE" w:rsidRDefault="00AC602F">
      <w:pPr>
        <w:pStyle w:val="ProductList-Body"/>
      </w:pPr>
      <w:r>
        <w:t>Os utilizadores do Office 2016 com uma subscrição do Project Pro para Office 365 ou do Visio Pro para Office 365 poderão instalar e utilizar uma cópia individual do software Project Professional 2016 ou Visio Professional 2016 no dispositivo em que o Office 2016 está instalado.</w:t>
      </w:r>
    </w:p>
    <w:p w:rsidR="00D87CDE" w:rsidRDefault="00D87CDE">
      <w:pPr>
        <w:pStyle w:val="ProductList-Body"/>
      </w:pP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305" w:name="_Sec634"/>
      <w:r>
        <w:t>Conjuntos de Aplicações do Office 365</w:t>
      </w:r>
      <w:bookmarkEnd w:id="305"/>
      <w:r>
        <w:fldChar w:fldCharType="begin"/>
      </w:r>
      <w:r>
        <w:instrText xml:space="preserve"> TC "</w:instrText>
      </w:r>
      <w:bookmarkStart w:id="306" w:name="_Toc452110518"/>
      <w:r>
        <w:instrText>Conjuntos de Aplicações do Office 365</w:instrText>
      </w:r>
      <w:bookmarkEnd w:id="306"/>
      <w:r>
        <w:instrText>" \l 3</w:instrText>
      </w:r>
      <w:r>
        <w:fldChar w:fldCharType="end"/>
      </w:r>
    </w:p>
    <w:p w:rsidR="00D87CDE" w:rsidRDefault="00AC602F">
      <w:pPr>
        <w:pStyle w:val="ProductList-Offering1SubSection"/>
        <w:outlineLvl w:val="3"/>
      </w:pPr>
      <w:bookmarkStart w:id="307" w:name="_Sec720"/>
      <w:r>
        <w:t>1. Disponibilidade do Programa</w:t>
      </w:r>
      <w:bookmarkEnd w:id="307"/>
    </w:p>
    <w:tbl>
      <w:tblPr>
        <w:tblStyle w:val="PURTable"/>
        <w:tblW w:w="0" w:type="dxa"/>
        <w:tblLook w:val="04A0" w:firstRow="1" w:lastRow="0" w:firstColumn="1" w:lastColumn="0" w:noHBand="0" w:noVBand="1"/>
      </w:tblPr>
      <w:tblGrid>
        <w:gridCol w:w="4438"/>
        <w:gridCol w:w="809"/>
        <w:gridCol w:w="780"/>
        <w:gridCol w:w="795"/>
        <w:gridCol w:w="705"/>
        <w:gridCol w:w="828"/>
        <w:gridCol w:w="821"/>
        <w:gridCol w:w="799"/>
        <w:gridCol w:w="809"/>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Office 365 Educação E5</w:t>
            </w:r>
            <w:r>
              <w:fldChar w:fldCharType="begin"/>
            </w:r>
            <w:r>
              <w:instrText xml:space="preserve"> XE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Suplemento do Office 365 Educação E5</w:t>
            </w:r>
            <w:r>
              <w:fldChar w:fldCharType="begin"/>
            </w:r>
            <w:r>
              <w:instrText xml:space="preserve"> XE "Suplemento do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Suplemento do Office 365 Educação E5 sem RTPC</w:t>
            </w:r>
            <w:r>
              <w:fldChar w:fldCharType="begin"/>
            </w:r>
            <w:r>
              <w:instrText xml:space="preserve"> XE "Suplemento do Office 365 Educação E5 sem RTPC"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Suplemento do Office 365 Enterprise E3, E4 sem ProPlus</w:t>
            </w:r>
            <w:r>
              <w:fldChar w:fldCharType="begin"/>
            </w:r>
            <w:r>
              <w:instrText xml:space="preserve"> XE "Suplemento do Office 365 Enterprise E3,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308" w:name="_Sec775"/>
      <w:r>
        <w:t>2. Condições do Produto</w:t>
      </w:r>
      <w:bookmarkEnd w:id="308"/>
    </w:p>
    <w:tbl>
      <w:tblPr>
        <w:tblStyle w:val="PURTable"/>
        <w:tblW w:w="0" w:type="dxa"/>
        <w:tblLook w:val="04A0" w:firstRow="1" w:lastRow="0" w:firstColumn="1" w:lastColumn="0" w:noHBand="0" w:noVBand="1"/>
      </w:tblPr>
      <w:tblGrid>
        <w:gridCol w:w="3588"/>
        <w:gridCol w:w="3601"/>
        <w:gridCol w:w="3601"/>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Serviço em Nuvem da Comunidade Pública dos EUA</w:t>
      </w:r>
    </w:p>
    <w:p w:rsidR="00D87CDE" w:rsidRDefault="00AC602F">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D87CDE" w:rsidRDefault="00D87CDE">
      <w:pPr>
        <w:pStyle w:val="ProductList-Body"/>
      </w:pPr>
    </w:p>
    <w:p w:rsidR="00D87CDE" w:rsidRDefault="00AC602F">
      <w:pPr>
        <w:pStyle w:val="ProductList-ClauseHeading"/>
        <w:outlineLvl w:val="4"/>
      </w:pPr>
      <w:r>
        <w:t>2.2 Aquisições Campus e School</w:t>
      </w:r>
    </w:p>
    <w:p w:rsidR="00D87CDE" w:rsidRDefault="00AC602F">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D87CDE" w:rsidRDefault="00D87CDE">
      <w:pPr>
        <w:pStyle w:val="ProductList-Body"/>
      </w:pPr>
    </w:p>
    <w:p w:rsidR="00D87CDE" w:rsidRDefault="00AC602F">
      <w:pPr>
        <w:pStyle w:val="ProductList-ClauseHeading"/>
        <w:outlineLvl w:val="4"/>
      </w:pPr>
      <w:r>
        <w:t>2.3 Licenciamento de Estudantes do Office 365 ProPlus sem custos baseado na Cobertura de Docentes/Funcionários</w:t>
      </w:r>
    </w:p>
    <w:p w:rsidR="00D87CDE" w:rsidRDefault="00AC602F">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D87CDE" w:rsidRDefault="00D87CDE">
      <w:pPr>
        <w:pStyle w:val="ProductList-Body"/>
      </w:pPr>
    </w:p>
    <w:p w:rsidR="00D87CDE" w:rsidRDefault="00AC602F">
      <w:pPr>
        <w:pStyle w:val="ProductList-ClauseHeading"/>
        <w:outlineLvl w:val="4"/>
      </w:pPr>
      <w:r>
        <w:t>2.4 Utilização da Biblioteca ou Laboratório do Campus e School</w:t>
      </w:r>
    </w:p>
    <w:p w:rsidR="00D87CDE" w:rsidRDefault="00AC602F">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w:t>
      </w:r>
    </w:p>
    <w:p w:rsidR="00D87CDE" w:rsidRDefault="00D87CDE">
      <w:pPr>
        <w:pStyle w:val="ProductList-Body"/>
      </w:pPr>
    </w:p>
    <w:p w:rsidR="00D87CDE" w:rsidRDefault="00AC602F">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D87C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SL de Utilizador de Suplementos</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Suplemento do Office 365 Enterprise E1</w:t>
            </w:r>
            <w:r>
              <w:rPr>
                <w:vertAlign w:val="superscript"/>
              </w:rPr>
              <w:t>2</w:t>
            </w:r>
          </w:p>
          <w:p w:rsidR="00D87CDE" w:rsidRDefault="00AC602F">
            <w:pPr>
              <w:pStyle w:val="ProductList-TableBody"/>
            </w:pPr>
            <w:r>
              <w:t>- Suplemento do Office 365 Enterprise E1 c/ Arquivo de Exchange Online</w:t>
            </w:r>
            <w:r>
              <w:rPr>
                <w:vertAlign w:val="superscript"/>
              </w:rPr>
              <w:t>2,3,4</w:t>
            </w:r>
          </w:p>
          <w:p w:rsidR="00D87CDE" w:rsidRDefault="00AC602F">
            <w:pPr>
              <w:pStyle w:val="ProductList-TableBody"/>
            </w:pPr>
            <w:r>
              <w:t>- Suplemento do Office 365 Administração Pública E1</w:t>
            </w:r>
          </w:p>
          <w:p w:rsidR="00D87CDE" w:rsidRDefault="00AC602F">
            <w:pPr>
              <w:pStyle w:val="ProductList-TableBody"/>
            </w:pPr>
            <w:r>
              <w:t>- Suplementos do Office 365 Enterprise e Administração Pública E3 sem ProPlus</w:t>
            </w:r>
          </w:p>
          <w:p w:rsidR="00D87CDE" w:rsidRDefault="00AC602F">
            <w:pPr>
              <w:pStyle w:val="ProductList-TableBody"/>
            </w:pPr>
            <w:r>
              <w:t>- Suplementos do Office 365 Enterprise e Administração Pública E4 sem ProPlus</w:t>
            </w:r>
          </w:p>
          <w:p w:rsidR="00D87CDE" w:rsidRDefault="00AC602F">
            <w:pPr>
              <w:pStyle w:val="ProductList-TableBody"/>
            </w:pPr>
            <w:r>
              <w:t>- Suplemento do Office 365 Educação E5</w:t>
            </w:r>
          </w:p>
          <w:p w:rsidR="00D87CDE" w:rsidRDefault="00AC602F">
            <w:pPr>
              <w:pStyle w:val="ProductList-TableBody"/>
            </w:pPr>
            <w:r>
              <w:t>- Suplemento do Exchange Online Plan 1</w:t>
            </w:r>
            <w:r>
              <w:fldChar w:fldCharType="begin"/>
            </w:r>
            <w:r>
              <w:instrText xml:space="preserve"> XE "Suplemento do Exchange Online Plan 1" </w:instrText>
            </w:r>
            <w:r>
              <w:fldChar w:fldCharType="end"/>
            </w:r>
          </w:p>
          <w:p w:rsidR="00D87CDE" w:rsidRDefault="00AC602F">
            <w:pPr>
              <w:pStyle w:val="ProductList-TableBody"/>
            </w:pPr>
            <w:r>
              <w:t>- Suplemento do Skype para Empresas Online Plan 1</w:t>
            </w:r>
            <w:r>
              <w:fldChar w:fldCharType="begin"/>
            </w:r>
            <w:r>
              <w:instrText xml:space="preserve"> XE "Suplemento do Skype para Empresas Online Plan 1" </w:instrText>
            </w:r>
            <w:r>
              <w:fldChar w:fldCharType="end"/>
            </w:r>
          </w:p>
          <w:p w:rsidR="00D87CDE" w:rsidRDefault="00AC602F">
            <w:pPr>
              <w:pStyle w:val="ProductList-TableBody"/>
            </w:pPr>
            <w:r>
              <w:t>- Suplemento do SharePoint Online Plan 1</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Suplementos do Office 365 Enterprise E1 e Administração Pública E1</w:t>
            </w:r>
          </w:p>
          <w:p w:rsidR="00D87CDE" w:rsidRDefault="00AC602F">
            <w:pPr>
              <w:pStyle w:val="ProductList-TableBody"/>
            </w:pPr>
            <w:r>
              <w:t>- Suplemento do Office 365 Enterprise E3</w:t>
            </w:r>
            <w:r>
              <w:rPr>
                <w:vertAlign w:val="superscript"/>
              </w:rPr>
              <w:t>2</w:t>
            </w:r>
          </w:p>
          <w:p w:rsidR="00D87CDE" w:rsidRDefault="00AC602F">
            <w:pPr>
              <w:pStyle w:val="ProductList-TableBody"/>
            </w:pPr>
            <w:r>
              <w:t>- Suplemento do Office 365 Administração Pública E3</w:t>
            </w:r>
            <w:r>
              <w:rPr>
                <w:vertAlign w:val="superscript"/>
              </w:rPr>
              <w:t>4</w:t>
            </w:r>
          </w:p>
          <w:p w:rsidR="00D87CDE" w:rsidRDefault="00AC602F">
            <w:pPr>
              <w:pStyle w:val="ProductList-TableBody"/>
            </w:pPr>
            <w:r>
              <w:t>- Suplementos do Office 365 Enterprise e Administração Pública E4, E5</w:t>
            </w:r>
          </w:p>
          <w:p w:rsidR="00D87CDE" w:rsidRDefault="00AC602F">
            <w:pPr>
              <w:pStyle w:val="ProductList-TableBody"/>
            </w:pPr>
            <w:r>
              <w:t>- Suplementos do Office 365 Enterprise e Administração Pública E3 sem ProPlus</w:t>
            </w:r>
          </w:p>
          <w:p w:rsidR="00D87CDE" w:rsidRDefault="00AC602F">
            <w:pPr>
              <w:pStyle w:val="ProductList-TableBody"/>
            </w:pPr>
            <w:r>
              <w:t>- Suplementos do Office 365 Enterprise e Administração Pública E4 sem ProPlus</w:t>
            </w:r>
          </w:p>
          <w:p w:rsidR="00D87CDE" w:rsidRDefault="00AC602F">
            <w:pPr>
              <w:pStyle w:val="ProductList-TableBody"/>
            </w:pPr>
            <w:r>
              <w:t>- Suplemento do Office 365 Educação E5</w:t>
            </w:r>
          </w:p>
          <w:p w:rsidR="00D87CDE" w:rsidRDefault="00AC602F">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D87CDE" w:rsidRDefault="00AC602F">
            <w:pPr>
              <w:pStyle w:val="ProductList-TableBody"/>
            </w:pPr>
            <w:r>
              <w:t xml:space="preserve">- Suplemento do Exchange Online Plan 1 </w:t>
            </w:r>
          </w:p>
          <w:p w:rsidR="00D87CDE" w:rsidRDefault="00AC602F">
            <w:pPr>
              <w:pStyle w:val="ProductList-TableBody"/>
            </w:pPr>
            <w:r>
              <w:t>- Suplemento do Skype para Empresas Online Plan 1</w:t>
            </w:r>
          </w:p>
          <w:p w:rsidR="00D87CDE" w:rsidRDefault="00AC602F">
            <w:pPr>
              <w:pStyle w:val="ProductList-TableBody"/>
            </w:pPr>
            <w:r>
              <w:t>- Suplemento do SharePoint Online Plan 1</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Suplementos do Office 365 Enterprise e Administração Pública E3 sem ProPlus</w:t>
            </w:r>
          </w:p>
          <w:p w:rsidR="00D87CDE" w:rsidRDefault="00AC602F">
            <w:pPr>
              <w:pStyle w:val="ProductList-TableBody"/>
            </w:pPr>
            <w:r>
              <w:t>- Suplementos do Office 365 Enterprise e Administração Pública E4 sem ProPlus</w:t>
            </w:r>
          </w:p>
          <w:p w:rsidR="00D87CDE" w:rsidRDefault="00AC602F">
            <w:pPr>
              <w:pStyle w:val="ProductList-TableBody"/>
            </w:pPr>
            <w:r>
              <w:t xml:space="preserve">- Suplemento do Office 365 Educação E5 </w:t>
            </w:r>
          </w:p>
          <w:p w:rsidR="00D87CDE" w:rsidRDefault="00AC602F">
            <w:pPr>
              <w:pStyle w:val="ProductList-TableBody"/>
            </w:pPr>
            <w:r>
              <w:t>- Suplemento de Azure Rights Management Premium</w:t>
            </w:r>
            <w:r>
              <w:fldChar w:fldCharType="begin"/>
            </w:r>
            <w:r>
              <w:instrText xml:space="preserve"> XE "Suplemento de Azure Rights Management Premium" </w:instrText>
            </w:r>
            <w:r>
              <w:fldChar w:fldCharType="end"/>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Suplementos do Office 365 Enterprise e Administração Pública E3</w:t>
            </w:r>
            <w:r>
              <w:rPr>
                <w:vertAlign w:val="superscript"/>
              </w:rPr>
              <w:t>2</w:t>
            </w:r>
            <w:r>
              <w:t>, E4 ou E5</w:t>
            </w:r>
          </w:p>
          <w:p w:rsidR="00D87CDE" w:rsidRDefault="00AC602F">
            <w:pPr>
              <w:pStyle w:val="ProductList-TableBody"/>
            </w:pPr>
            <w:r>
              <w:t xml:space="preserve">- Suplemento do Office 365 Educação E5 </w:t>
            </w:r>
          </w:p>
          <w:p w:rsidR="00D87CDE" w:rsidRDefault="00AC602F">
            <w:pPr>
              <w:pStyle w:val="ProductList-TableBody"/>
            </w:pPr>
            <w:r>
              <w:t>- Suplementos do Office 365 Enterprise e Administração Pública E3</w:t>
            </w:r>
            <w:r>
              <w:rPr>
                <w:vertAlign w:val="superscript"/>
              </w:rPr>
              <w:t>2</w:t>
            </w:r>
            <w:r>
              <w:t xml:space="preserve"> ou E4 sem ProPlus</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Suplemento do Office 365 Médias Empresas</w:t>
            </w:r>
            <w:r>
              <w:rPr>
                <w:vertAlign w:val="superscript"/>
              </w:rPr>
              <w:t>2,3</w:t>
            </w:r>
          </w:p>
          <w:p w:rsidR="00D87CDE" w:rsidRDefault="00AC602F">
            <w:pPr>
              <w:pStyle w:val="ProductList-TableBody"/>
            </w:pPr>
            <w:r>
              <w:t>- Suplemento do Office 365 Enterprise E3</w:t>
            </w:r>
            <w:r>
              <w:rPr>
                <w:vertAlign w:val="superscript"/>
              </w:rPr>
              <w:t>2,3</w:t>
            </w:r>
          </w:p>
          <w:p w:rsidR="00D87CDE" w:rsidRDefault="00AC602F">
            <w:pPr>
              <w:pStyle w:val="ProductList-TableBody"/>
            </w:pPr>
            <w:r>
              <w:t xml:space="preserve">- Suplemento do Office 365 Educação E5 </w:t>
            </w:r>
          </w:p>
        </w:tc>
      </w:tr>
    </w:tbl>
    <w:p w:rsidR="00D87CDE" w:rsidRDefault="00AC602F">
      <w:pPr>
        <w:pStyle w:val="ProductList-Body"/>
      </w:pPr>
      <w:r>
        <w:rPr>
          <w:i/>
          <w:vertAlign w:val="superscript"/>
        </w:rPr>
        <w:t>1</w:t>
      </w:r>
      <w:r>
        <w:rPr>
          <w:i/>
        </w:rPr>
        <w:t>1Cada Licença Qualificável tem de ter SA ativa</w:t>
      </w:r>
    </w:p>
    <w:p w:rsidR="00D87CDE" w:rsidRDefault="00AC602F">
      <w:pPr>
        <w:pStyle w:val="ProductList-Body"/>
      </w:pPr>
      <w:r>
        <w:rPr>
          <w:i/>
          <w:vertAlign w:val="superscript"/>
        </w:rPr>
        <w:t>2</w:t>
      </w:r>
      <w:r>
        <w:rPr>
          <w:i/>
        </w:rPr>
        <w:t>Estas são as únicas ofertas disponíveis para clientes de Open Value e Open Value Subscription.</w:t>
      </w:r>
    </w:p>
    <w:p w:rsidR="00D87CDE" w:rsidRDefault="00AC602F">
      <w:pPr>
        <w:pStyle w:val="ProductList-Body"/>
      </w:pPr>
      <w:r>
        <w:rPr>
          <w:i/>
          <w:vertAlign w:val="superscript"/>
        </w:rPr>
        <w:t>3</w:t>
      </w:r>
      <w:r>
        <w:rPr>
          <w:i/>
        </w:rPr>
        <w:t>Esta SL de Utilizador de Suplementos só pode ser adquirida ao abrigo de um contrato Open Value (Toda a Organização) ou Open Value Subscription.</w:t>
      </w:r>
    </w:p>
    <w:p w:rsidR="00D87CDE" w:rsidRDefault="00AC602F">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D87CDE" w:rsidRDefault="00D87CDE">
      <w:pPr>
        <w:pStyle w:val="ProductList-Body"/>
      </w:pPr>
    </w:p>
    <w:p w:rsidR="00D87CDE" w:rsidRDefault="00AC602F">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D87CDE" w:rsidRDefault="00D87CDE">
      <w:pPr>
        <w:pStyle w:val="ProductList-Body"/>
      </w:pPr>
    </w:p>
    <w:p w:rsidR="00D87CDE" w:rsidRDefault="00AC602F">
      <w:pPr>
        <w:pStyle w:val="ProductList-ClauseHeading"/>
        <w:outlineLvl w:val="4"/>
      </w:pPr>
      <w:r>
        <w:t>2.6 Restrições de Aquisição</w:t>
      </w:r>
    </w:p>
    <w:p w:rsidR="00D87CDE" w:rsidRDefault="00AC602F">
      <w:pPr>
        <w:pStyle w:val="ProductList-Body"/>
      </w:pPr>
      <w:r>
        <w:t xml:space="preserve">Só uma SL de Utilizador de Suplementos pode ser adquirida para cada Licença Qualificável (ou conjunto de Licenças Qualificáveis). </w:t>
      </w:r>
    </w:p>
    <w:p w:rsidR="00D87CDE" w:rsidRDefault="00D87CDE">
      <w:pPr>
        <w:pStyle w:val="ProductList-Body"/>
      </w:pPr>
    </w:p>
    <w:p w:rsidR="00D87CDE" w:rsidRDefault="00AC602F">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rsidR="00D87CDE" w:rsidRDefault="00D87CDE">
      <w:pPr>
        <w:pStyle w:val="ProductList-Body"/>
      </w:pPr>
    </w:p>
    <w:p w:rsidR="00D87CDE" w:rsidRDefault="00AC602F">
      <w:pPr>
        <w:pStyle w:val="ProductList-ClauseHeading"/>
        <w:outlineLvl w:val="4"/>
      </w:pPr>
      <w:r>
        <w:t>2.7 Termos do Programa de Licenciamento em Volume</w:t>
      </w:r>
    </w:p>
    <w:p w:rsidR="00D87CDE" w:rsidRDefault="00AC602F">
      <w:pPr>
        <w:pStyle w:val="ProductList-Body"/>
      </w:pPr>
      <w:r>
        <w:t xml:space="preserve">Os termos dos programas aplicáveis à SL de Utilizador de Serviço Online correspondente também se aplicam às SLs de Utilizador de Suplementos. </w:t>
      </w:r>
    </w:p>
    <w:p w:rsidR="00D87CDE" w:rsidRDefault="00D87CDE">
      <w:pPr>
        <w:pStyle w:val="ProductList-Body"/>
      </w:pPr>
    </w:p>
    <w:p w:rsidR="00D87CDE" w:rsidRDefault="00AC602F">
      <w:pPr>
        <w:pStyle w:val="ProductList-ClauseHeading"/>
        <w:outlineLvl w:val="4"/>
      </w:pPr>
      <w:r>
        <w:t>2.8 Elegibilidade de aquisição para SLs de Utilizador do Office 365 de SA Existente</w:t>
      </w:r>
    </w:p>
    <w:p w:rsidR="00D87CDE" w:rsidRDefault="00AC602F">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CAL Suite Bridge Necessária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365 (Enterprise E3, E4,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 Bridge para Office 365</w:t>
            </w:r>
            <w:r>
              <w:rPr>
                <w:vertAlign w:val="superscript"/>
              </w:rPr>
              <w:t>2,3</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365 (Enterprise E3, E4,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D87CDE" w:rsidRDefault="00AC602F">
      <w:pPr>
        <w:pStyle w:val="ProductList-Body"/>
      </w:pPr>
      <w:r>
        <w:rPr>
          <w:i/>
          <w:vertAlign w:val="superscript"/>
        </w:rPr>
        <w:t>1</w:t>
      </w:r>
      <w:r>
        <w:rPr>
          <w:i/>
        </w:rPr>
        <w:t>Disponível para aquisição no aniversário da inscrição ou no início de um novo período de inscrição apenas.</w:t>
      </w:r>
    </w:p>
    <w:p w:rsidR="00D87CDE" w:rsidRDefault="00AC602F">
      <w:pPr>
        <w:pStyle w:val="ProductList-Body"/>
      </w:pPr>
      <w:r>
        <w:rPr>
          <w:i/>
          <w:vertAlign w:val="superscript"/>
        </w:rPr>
        <w:t>2</w:t>
      </w:r>
      <w:r>
        <w:rPr>
          <w:i/>
        </w:rPr>
        <w:t>Necessário para Aquisição no aniversário da inscrição apenas.</w:t>
      </w:r>
    </w:p>
    <w:p w:rsidR="00D87CDE" w:rsidRDefault="00AC602F">
      <w:pPr>
        <w:pStyle w:val="ProductList-Body"/>
      </w:pPr>
      <w:r>
        <w:rPr>
          <w:i/>
          <w:vertAlign w:val="superscript"/>
        </w:rPr>
        <w:t>3</w:t>
      </w:r>
      <w:r>
        <w:rPr>
          <w:i/>
        </w:rPr>
        <w:t>Aquisição não necessária para utilizadores também licenciados com o Enterprise Mobility Suite</w:t>
      </w:r>
      <w:r>
        <w:fldChar w:fldCharType="begin"/>
      </w:r>
      <w:r>
        <w:instrText xml:space="preserve"> XE "Enterprise Mobility Suite" </w:instrText>
      </w:r>
      <w:r>
        <w:fldChar w:fldCharType="end"/>
      </w:r>
      <w:r>
        <w:rPr>
          <w:i/>
        </w:rPr>
        <w:t>.</w:t>
      </w:r>
    </w:p>
    <w:p w:rsidR="00D87CDE" w:rsidRDefault="00D87CDE">
      <w:pPr>
        <w:pStyle w:val="ProductList-Body"/>
      </w:pPr>
    </w:p>
    <w:p w:rsidR="00D87CDE" w:rsidRDefault="00AC602F">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D87CDE" w:rsidRDefault="00D87CDE">
      <w:pPr>
        <w:pStyle w:val="ProductList-Body"/>
      </w:pPr>
    </w:p>
    <w:p w:rsidR="00D87CDE" w:rsidRDefault="00AC602F">
      <w:pPr>
        <w:pStyle w:val="ProductList-ClauseHeading"/>
        <w:outlineLvl w:val="4"/>
      </w:pPr>
      <w:r>
        <w:t>2.9 Aquisições de SLs de Utilizador de SA Existente</w:t>
      </w:r>
    </w:p>
    <w:p w:rsidR="00D87CDE" w:rsidRDefault="00AC602F">
      <w:pPr>
        <w:pStyle w:val="ProductList-Body"/>
      </w:pPr>
      <w:r>
        <w:t>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do Dispositivo Qualificado.</w:t>
      </w:r>
    </w:p>
    <w:p w:rsidR="00D87CDE" w:rsidRDefault="00D87CDE">
      <w:pPr>
        <w:pStyle w:val="ProductList-Body"/>
      </w:pPr>
    </w:p>
    <w:p w:rsidR="00D87CDE" w:rsidRDefault="00AC602F">
      <w:pPr>
        <w:pStyle w:val="ProductList-ClauseHeading"/>
        <w:outlineLvl w:val="4"/>
      </w:pPr>
      <w:r>
        <w:t>2.10 Benefícios de SA para SLs de Utilizador do Office 365 de SA Existente</w:t>
      </w:r>
    </w:p>
    <w:p w:rsidR="00D87CDE" w:rsidRDefault="00AC602F">
      <w:pPr>
        <w:pStyle w:val="ProductList-Body"/>
      </w:pPr>
      <w:r>
        <w:t>As SLs de Utilizador do Office 365 (Enterprise e Administração Pública E1, E3, E4) de SA Existente conferem os mesmos Benefícios de SA que os Produtos Qualificáveis na secção 2.8 acima.</w:t>
      </w:r>
    </w:p>
    <w:p w:rsidR="00D87CDE" w:rsidRDefault="00D87CDE">
      <w:pPr>
        <w:pStyle w:val="ProductList-Body"/>
      </w:pPr>
    </w:p>
    <w:p w:rsidR="00D87CDE" w:rsidRDefault="00AC602F">
      <w:pPr>
        <w:pStyle w:val="ProductList-ClauseHeading"/>
        <w:outlineLvl w:val="4"/>
      </w:pPr>
      <w:r>
        <w:t>2.11 Office 365 Enterprise K1</w:t>
      </w:r>
    </w:p>
    <w:p w:rsidR="00D87CDE" w:rsidRDefault="00AC602F">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D87CDE" w:rsidRDefault="00D87CDE">
      <w:pPr>
        <w:pStyle w:val="ProductList-Body"/>
      </w:pPr>
    </w:p>
    <w:p w:rsidR="00D87CDE" w:rsidRDefault="00AC602F">
      <w:pPr>
        <w:pStyle w:val="ProductList-ClauseHeading"/>
        <w:outlineLvl w:val="4"/>
      </w:pPr>
      <w:r>
        <w:t>2.12 Office Multi Language Pack</w:t>
      </w:r>
    </w:p>
    <w:p w:rsidR="00D87CDE" w:rsidRDefault="00AC602F">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D87CDE" w:rsidRDefault="00D87CDE">
      <w:pPr>
        <w:pStyle w:val="ProductList-Body"/>
      </w:pPr>
    </w:p>
    <w:p w:rsidR="00D87CDE" w:rsidRDefault="00AC602F">
      <w:pPr>
        <w:pStyle w:val="ProductList-ClauseHeading"/>
        <w:outlineLvl w:val="4"/>
      </w:pPr>
      <w:r>
        <w:t>2.13 E-Learning</w:t>
      </w:r>
    </w:p>
    <w:p w:rsidR="00D87CDE" w:rsidRDefault="00AC602F">
      <w:pPr>
        <w:pStyle w:val="ProductList-Body"/>
      </w:pPr>
      <w:r>
        <w:t>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w:t>
      </w:r>
    </w:p>
    <w:p w:rsidR="00D87CDE" w:rsidRDefault="00D87CDE">
      <w:pPr>
        <w:pStyle w:val="ProductList-Body"/>
      </w:pPr>
    </w:p>
    <w:p w:rsidR="00D87CDE" w:rsidRDefault="00AC602F">
      <w:pPr>
        <w:pStyle w:val="ProductList-ClauseHeading"/>
        <w:outlineLvl w:val="4"/>
      </w:pPr>
      <w:r>
        <w:t>2.14 Resgate da Chave de Produto do Office 365 Médias Empresas</w:t>
      </w:r>
    </w:p>
    <w:p w:rsidR="00D87CDE" w:rsidRDefault="00AC602F">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2110519"/>
      <w:r>
        <w:instrText>Office 365 Advanced Security Management</w:instrText>
      </w:r>
      <w:bookmarkEnd w:id="310"/>
      <w:r>
        <w:instrText>" \l 3</w:instrText>
      </w:r>
      <w:r>
        <w:fldChar w:fldCharType="end"/>
      </w:r>
    </w:p>
    <w:p w:rsidR="00D87CDE" w:rsidRDefault="00AC602F">
      <w:pPr>
        <w:pStyle w:val="ProductList-Offering1SubSection"/>
        <w:outlineLvl w:val="3"/>
      </w:pPr>
      <w:bookmarkStart w:id="311" w:name="_Sec919"/>
      <w:r>
        <w:t>1. Disponibilidade do Programa</w:t>
      </w:r>
      <w:bookmarkEnd w:id="311"/>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D87CDE" w:rsidTr="00B934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rsidTr="00B93494">
        <w:tc>
          <w:tcPr>
            <w:tcW w:w="5020" w:type="dxa"/>
            <w:tcBorders>
              <w:top w:val="single" w:sz="6" w:space="0" w:color="FFFFFF"/>
              <w:left w:val="nil"/>
              <w:bottom w:val="nil"/>
              <w:right w:val="nil"/>
            </w:tcBorders>
          </w:tcPr>
          <w:p w:rsidR="00D87CDE" w:rsidRDefault="00AC602F">
            <w:pPr>
              <w:pStyle w:val="ProductList-TableBody"/>
            </w:pPr>
            <w:r>
              <w:rPr>
                <w:color w:val="000000"/>
              </w:rPr>
              <w:t>Office 365 Advanced Security Management (SL de Utilizador)</w:t>
            </w:r>
            <w:r>
              <w:fldChar w:fldCharType="begin"/>
            </w:r>
            <w:r>
              <w:instrText xml:space="preserve"> XE "Office 365 Advanced Security Management (SL de Utilizador)" </w:instrText>
            </w:r>
            <w:r>
              <w:fldChar w:fldCharType="end"/>
            </w:r>
          </w:p>
        </w:tc>
        <w:tc>
          <w:tcPr>
            <w:tcW w:w="860" w:type="dxa"/>
            <w:tcBorders>
              <w:top w:val="single" w:sz="6" w:space="0" w:color="FFFFFF"/>
              <w:left w:val="nil"/>
              <w:bottom w:val="nil"/>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B9349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87CDE" w:rsidRDefault="00B934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87CDE" w:rsidRDefault="00B934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D87CDE">
      <w:pPr>
        <w:pStyle w:val="ProductList-Body"/>
      </w:pPr>
    </w:p>
    <w:p w:rsidR="00D87CDE" w:rsidRDefault="00AC602F">
      <w:pPr>
        <w:pStyle w:val="ProductList-Offering1SubSection"/>
        <w:outlineLvl w:val="3"/>
      </w:pPr>
      <w:bookmarkStart w:id="312" w:name="_Sec920"/>
      <w:r>
        <w:t>2. Condições do Produto</w:t>
      </w:r>
      <w:bookmarkEnd w:id="312"/>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tbl>
      <w:tblPr>
        <w:tblStyle w:val="PURTable"/>
        <w:tblW w:w="0" w:type="dxa"/>
        <w:tblLook w:val="04A0" w:firstRow="1" w:lastRow="0" w:firstColumn="1" w:lastColumn="0" w:noHBand="0" w:noVBand="1"/>
      </w:tblPr>
      <w:tblGrid>
        <w:gridCol w:w="10800"/>
      </w:tblGrid>
      <w:tr w:rsidR="000C4B91"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B91" w:rsidRDefault="000C4B91" w:rsidP="009C38BF">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0C4B91" w:rsidRDefault="000C4B91" w:rsidP="000C4B91">
      <w:pPr>
        <w:pStyle w:val="ProductList-Body"/>
      </w:pPr>
    </w:p>
    <w:p w:rsidR="00D87CDE" w:rsidRDefault="00AC602F">
      <w:pPr>
        <w:pStyle w:val="ProductList-Offering2HeadingNoBorder"/>
        <w:outlineLvl w:val="2"/>
      </w:pPr>
      <w:bookmarkStart w:id="313" w:name="_Sec874"/>
      <w:bookmarkStart w:id="314" w:name="_GoBack"/>
      <w:bookmarkEnd w:id="314"/>
      <w:r>
        <w:t>Office 365 Customer Lockbox</w:t>
      </w:r>
      <w:bookmarkEnd w:id="313"/>
      <w:r>
        <w:fldChar w:fldCharType="begin"/>
      </w:r>
      <w:r>
        <w:instrText xml:space="preserve"> TC "</w:instrText>
      </w:r>
      <w:bookmarkStart w:id="315" w:name="_Toc452110520"/>
      <w:r>
        <w:instrText>Office 365 Customer Lockbox</w:instrText>
      </w:r>
      <w:bookmarkEnd w:id="315"/>
      <w:r>
        <w:instrText>" \l 3</w:instrText>
      </w:r>
      <w:r>
        <w:fldChar w:fldCharType="end"/>
      </w:r>
    </w:p>
    <w:p w:rsidR="00D87CDE" w:rsidRDefault="00AC602F">
      <w:pPr>
        <w:pStyle w:val="ProductList-Offering1SubSection"/>
        <w:outlineLvl w:val="3"/>
      </w:pPr>
      <w:bookmarkStart w:id="316" w:name="_Sec875"/>
      <w:r>
        <w:t>1. Disponibilidade do Programa</w:t>
      </w:r>
      <w:bookmarkEnd w:id="316"/>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none" w:sz="4" w:space="0" w:color="BFBFBF"/>
              <w:right w:val="none" w:sz="4" w:space="0" w:color="6E6E6E"/>
            </w:tcBorders>
          </w:tcPr>
          <w:p w:rsidR="00D87CDE" w:rsidRDefault="00AC602F">
            <w:pPr>
              <w:pStyle w:val="ProductList-TableBody"/>
            </w:pPr>
            <w:r>
              <w:t>Office 365 Customer Lockbox</w:t>
            </w:r>
            <w:r>
              <w:fldChar w:fldCharType="begin"/>
            </w:r>
            <w:r>
              <w:instrText xml:space="preserve"> XE "Office 365 Customer Lockbox"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D87CDE">
      <w:pPr>
        <w:pStyle w:val="ProductList-Body"/>
      </w:pPr>
    </w:p>
    <w:p w:rsidR="00D87CDE" w:rsidRDefault="00AC602F">
      <w:pPr>
        <w:pStyle w:val="ProductList-Offering1SubSection"/>
        <w:outlineLvl w:val="3"/>
      </w:pPr>
      <w:bookmarkStart w:id="317" w:name="_Sec876"/>
      <w:r>
        <w:t>2. Condições do Produto</w:t>
      </w:r>
      <w:bookmarkEnd w:id="317"/>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10521"/>
      <w:r>
        <w:instrText>Office 365 Delve Analytics</w:instrText>
      </w:r>
      <w:bookmarkEnd w:id="319"/>
      <w:r>
        <w:instrText>" \l 3</w:instrText>
      </w:r>
      <w:r>
        <w:fldChar w:fldCharType="end"/>
      </w:r>
    </w:p>
    <w:p w:rsidR="00D87CDE" w:rsidRDefault="00AC602F">
      <w:pPr>
        <w:pStyle w:val="ProductList-Offering1SubSection"/>
        <w:outlineLvl w:val="3"/>
      </w:pPr>
      <w:bookmarkStart w:id="320" w:name="_Sec878"/>
      <w:r>
        <w:t>1. Disponibilidade do Programa</w:t>
      </w:r>
      <w:bookmarkEnd w:id="320"/>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none" w:sz="4" w:space="0" w:color="BFBFBF"/>
              <w:right w:val="none" w:sz="4" w:space="0" w:color="6E6E6E"/>
            </w:tcBorders>
          </w:tcPr>
          <w:p w:rsidR="00D87CDE" w:rsidRDefault="00AC602F">
            <w:pPr>
              <w:pStyle w:val="ProductList-TableBody"/>
            </w:pPr>
            <w:r>
              <w:t>Office 365 Delve Analytics</w:t>
            </w:r>
            <w:r>
              <w:fldChar w:fldCharType="begin"/>
            </w:r>
            <w:r>
              <w:instrText xml:space="preserve"> XE "Office 365 Delve 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3"/>
      </w:pPr>
      <w:bookmarkStart w:id="321" w:name="_Sec879"/>
      <w:r>
        <w:t>2. Condições do Produto</w:t>
      </w:r>
      <w:bookmarkEnd w:id="321"/>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10522"/>
      <w:r>
        <w:instrText>Office 365 Advanced eDiscovery</w:instrText>
      </w:r>
      <w:bookmarkEnd w:id="323"/>
      <w:r>
        <w:instrText>" \l 3</w:instrText>
      </w:r>
      <w:r>
        <w:fldChar w:fldCharType="end"/>
      </w:r>
    </w:p>
    <w:p w:rsidR="00D87CDE" w:rsidRDefault="00AC602F">
      <w:pPr>
        <w:pStyle w:val="ProductList-Offering1SubSection"/>
        <w:outlineLvl w:val="3"/>
      </w:pPr>
      <w:bookmarkStart w:id="324" w:name="_Sec881"/>
      <w:r>
        <w:t>1. Disponibilidade do Programa</w:t>
      </w:r>
      <w:bookmarkEnd w:id="324"/>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none" w:sz="4" w:space="0" w:color="BFBFBF"/>
              <w:right w:val="none" w:sz="4" w:space="0" w:color="6E6E6E"/>
            </w:tcBorders>
          </w:tcPr>
          <w:p w:rsidR="00D87CDE" w:rsidRDefault="00AC602F">
            <w:pPr>
              <w:pStyle w:val="ProductList-TableBody"/>
            </w:pPr>
            <w:r>
              <w:t>Office 365 Advanced eDiscovery</w:t>
            </w:r>
            <w:r>
              <w:fldChar w:fldCharType="begin"/>
            </w:r>
            <w:r>
              <w:instrText xml:space="preserve"> XE "Office 365 Advanced eDiscovery" </w:instrText>
            </w:r>
            <w:r>
              <w:fldChar w:fldCharType="end"/>
            </w:r>
            <w:r>
              <w:rPr>
                <w:color w:val="000000"/>
              </w:rPr>
              <w:t>(SL de Utilizador)</w:t>
            </w:r>
          </w:p>
        </w:tc>
        <w:tc>
          <w:tcPr>
            <w:tcW w:w="860" w:type="dxa"/>
            <w:tcBorders>
              <w:top w:val="single" w:sz="6" w:space="0" w:color="FFFFFF"/>
              <w:left w:val="none" w:sz="4" w:space="0" w:color="6E6E6E"/>
              <w:bottom w:val="none"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3"/>
      </w:pPr>
      <w:bookmarkStart w:id="325" w:name="_Sec882"/>
      <w:r>
        <w:t>2. Condições do Produto</w:t>
      </w:r>
      <w:bookmarkEnd w:id="325"/>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326" w:name="_Sec665"/>
      <w:r>
        <w:t>Exchange Online</w:t>
      </w:r>
      <w:bookmarkEnd w:id="326"/>
      <w:r>
        <w:fldChar w:fldCharType="begin"/>
      </w:r>
      <w:r>
        <w:instrText xml:space="preserve"> TC "</w:instrText>
      </w:r>
      <w:bookmarkStart w:id="327" w:name="_Toc452110523"/>
      <w:r>
        <w:instrText>Exchange Online</w:instrText>
      </w:r>
      <w:bookmarkEnd w:id="327"/>
      <w:r>
        <w:instrText>" \l 3</w:instrText>
      </w:r>
      <w:r>
        <w:fldChar w:fldCharType="end"/>
      </w:r>
    </w:p>
    <w:p w:rsidR="00D87CDE" w:rsidRDefault="00AC602F">
      <w:pPr>
        <w:pStyle w:val="ProductList-Offering1SubSection"/>
        <w:outlineLvl w:val="3"/>
      </w:pPr>
      <w:bookmarkStart w:id="328" w:name="_Sec721"/>
      <w:r>
        <w:t>1. Disponibilidade do Programa</w:t>
      </w:r>
      <w:bookmarkEnd w:id="328"/>
    </w:p>
    <w:tbl>
      <w:tblPr>
        <w:tblStyle w:val="PURTable"/>
        <w:tblW w:w="0" w:type="dxa"/>
        <w:tblLook w:val="04A0" w:firstRow="1" w:lastRow="0" w:firstColumn="1" w:lastColumn="0" w:noHBand="0" w:noVBand="1"/>
      </w:tblPr>
      <w:tblGrid>
        <w:gridCol w:w="4445"/>
        <w:gridCol w:w="810"/>
        <w:gridCol w:w="781"/>
        <w:gridCol w:w="796"/>
        <w:gridCol w:w="706"/>
        <w:gridCol w:w="829"/>
        <w:gridCol w:w="822"/>
        <w:gridCol w:w="800"/>
        <w:gridCol w:w="795"/>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Proteção Avançada contra Ameaças</w:t>
            </w:r>
            <w:r>
              <w:fldChar w:fldCharType="begin"/>
            </w:r>
            <w:r>
              <w:instrText xml:space="preserve"> XE "Proteção Avançada contra Ameaças"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329" w:name="_Sec776"/>
      <w:r>
        <w:t>2. Condições do Produto</w:t>
      </w:r>
      <w:bookmarkEnd w:id="329"/>
    </w:p>
    <w:tbl>
      <w:tblPr>
        <w:tblStyle w:val="PURTable"/>
        <w:tblW w:w="0" w:type="dxa"/>
        <w:tblLook w:val="04A0" w:firstRow="1" w:lastRow="0" w:firstColumn="1" w:lastColumn="0" w:noHBand="0" w:noVBand="1"/>
      </w:tblPr>
      <w:tblGrid>
        <w:gridCol w:w="3621"/>
        <w:gridCol w:w="3570"/>
        <w:gridCol w:w="3599"/>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18">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Arquivo de Exchange Online para Exchange Server</w:t>
      </w:r>
    </w:p>
    <w:p w:rsidR="00D87CDE" w:rsidRDefault="00AC602F">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D87CDE" w:rsidRDefault="00D87CDE">
      <w:pPr>
        <w:pStyle w:val="ProductList-Body"/>
      </w:pPr>
    </w:p>
    <w:p w:rsidR="00D87CDE" w:rsidRDefault="00AC602F">
      <w:pPr>
        <w:pStyle w:val="ProductList-ClauseHeading"/>
        <w:outlineLvl w:val="4"/>
      </w:pPr>
      <w:r>
        <w:t>2.2 Arquivo de Exchange Online para Exchange Server A</w:t>
      </w:r>
    </w:p>
    <w:p w:rsidR="00D87CDE" w:rsidRDefault="00AC602F">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D87CDE" w:rsidRDefault="00D87CDE">
      <w:pPr>
        <w:pStyle w:val="ProductList-Body"/>
      </w:pPr>
    </w:p>
    <w:p w:rsidR="00D87CDE" w:rsidRDefault="00AC602F">
      <w:pPr>
        <w:pStyle w:val="ProductList-ClauseHeading"/>
        <w:outlineLvl w:val="4"/>
      </w:pPr>
      <w:r>
        <w:t>2.3 Proteção do Exchange Online</w:t>
      </w:r>
    </w:p>
    <w:p w:rsidR="00D87CDE" w:rsidRDefault="00AC602F">
      <w:pPr>
        <w:pStyle w:val="ProductList-Body"/>
      </w:pPr>
      <w:r>
        <w:t>Uma vez que este Serviço Online é fornecido por domínio, o Cliente tem de atribuir SLs de Utilizador a todos os utilizadores em qualquer domínio (ou subdomínio) abrangido.</w:t>
      </w:r>
    </w:p>
    <w:p w:rsidR="00D87CDE" w:rsidRDefault="00D87CDE">
      <w:pPr>
        <w:pStyle w:val="ProductList-Body"/>
      </w:pPr>
    </w:p>
    <w:p w:rsidR="00D87CDE" w:rsidRDefault="00AC602F">
      <w:pPr>
        <w:pStyle w:val="ProductList-Body"/>
      </w:pPr>
      <w:r>
        <w:t>As Instituições Académicas que são licenciadas para o Enterprise CAL Suite ou Exchange Enterprise CAL com Serviços</w:t>
      </w:r>
      <w:r>
        <w:fldChar w:fldCharType="begin"/>
      </w:r>
      <w:r>
        <w:instrText xml:space="preserve"> XE "Exchange Enterprise CAL com Serviços" </w:instrText>
      </w:r>
      <w:r>
        <w:fldChar w:fldCharType="end"/>
      </w:r>
      <w:r>
        <w:t xml:space="preserve">, com cobertura SA ativa, ao abrigo de um EES ou OVS-ES, são totalmente licenciadas para a Proteção do Exchange Online, independentemente do respetivo número de Enterprise CAL Suite ou Exchange Enterprise CAL com licenças de Serviços. </w:t>
      </w:r>
    </w:p>
    <w:p w:rsidR="00D87CDE" w:rsidRDefault="00D87CDE">
      <w:pPr>
        <w:pStyle w:val="ProductList-Body"/>
      </w:pPr>
    </w:p>
    <w:p w:rsidR="00D87CDE" w:rsidRDefault="00AC602F">
      <w:pPr>
        <w:pStyle w:val="ProductList-ClauseHeading"/>
        <w:outlineLvl w:val="4"/>
      </w:pPr>
      <w:r>
        <w:t>2.4 Pré-requisito: SLs de Utilizador de Suplementos</w:t>
      </w:r>
    </w:p>
    <w:p w:rsidR="00D87CDE" w:rsidRDefault="00AC602F">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330" w:name="_Sec666"/>
      <w:r>
        <w:t>OneDrive para Empresas</w:t>
      </w:r>
      <w:bookmarkEnd w:id="330"/>
      <w:r>
        <w:fldChar w:fldCharType="begin"/>
      </w:r>
      <w:r>
        <w:instrText xml:space="preserve"> TC "</w:instrText>
      </w:r>
      <w:bookmarkStart w:id="331" w:name="_Toc452110524"/>
      <w:r>
        <w:instrText>OneDrive para Empresas</w:instrText>
      </w:r>
      <w:bookmarkEnd w:id="331"/>
      <w:r>
        <w:instrText>" \l 3</w:instrText>
      </w:r>
      <w:r>
        <w:fldChar w:fldCharType="end"/>
      </w:r>
    </w:p>
    <w:p w:rsidR="00D87CDE" w:rsidRDefault="00AC602F">
      <w:pPr>
        <w:pStyle w:val="ProductList-Offering1SubSection"/>
        <w:outlineLvl w:val="3"/>
      </w:pPr>
      <w:bookmarkStart w:id="332" w:name="_Sec722"/>
      <w:r>
        <w:t>1. Disponibilidade do Programa</w:t>
      </w:r>
      <w:bookmarkEnd w:id="332"/>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7F7F7F"/>
              <w:right w:val="none" w:sz="4" w:space="0" w:color="6E6E6E"/>
            </w:tcBorders>
          </w:tcPr>
          <w:p w:rsidR="00D87CDE" w:rsidRDefault="00AC602F">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7F7F7F"/>
              <w:left w:val="none" w:sz="4" w:space="0" w:color="6E6E6E"/>
              <w:bottom w:val="none" w:sz="4" w:space="0" w:color="BFBFBF"/>
              <w:right w:val="none" w:sz="4" w:space="0" w:color="6E6E6E"/>
            </w:tcBorders>
          </w:tcPr>
          <w:p w:rsidR="00D87CDE" w:rsidRDefault="00AC602F">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333" w:name="_Sec777"/>
      <w:r>
        <w:t>2. Condições do Produto</w:t>
      </w:r>
      <w:bookmarkEnd w:id="333"/>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334" w:name="_Sec667"/>
      <w:r>
        <w:t>Project Online</w:t>
      </w:r>
      <w:bookmarkEnd w:id="334"/>
      <w:r>
        <w:fldChar w:fldCharType="begin"/>
      </w:r>
      <w:r>
        <w:instrText xml:space="preserve"> TC "</w:instrText>
      </w:r>
      <w:bookmarkStart w:id="335" w:name="_Toc452110525"/>
      <w:r>
        <w:instrText>Project Online</w:instrText>
      </w:r>
      <w:bookmarkEnd w:id="335"/>
      <w:r>
        <w:instrText>" \l 3</w:instrText>
      </w:r>
      <w:r>
        <w:fldChar w:fldCharType="end"/>
      </w:r>
    </w:p>
    <w:p w:rsidR="00D87CDE" w:rsidRDefault="00AC602F">
      <w:pPr>
        <w:pStyle w:val="ProductList-Offering1SubSection"/>
        <w:outlineLvl w:val="3"/>
      </w:pPr>
      <w:bookmarkStart w:id="336" w:name="_Sec723"/>
      <w:r>
        <w:t>1. Disponibilidade do Programa</w:t>
      </w:r>
      <w:bookmarkEnd w:id="336"/>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t>Project Online</w:t>
            </w:r>
            <w:r>
              <w:fldChar w:fldCharType="begin"/>
            </w:r>
            <w:r>
              <w:instrText xml:space="preserve"> XE "Project Online"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Project Lite</w:t>
            </w:r>
            <w:r>
              <w:fldChar w:fldCharType="begin"/>
            </w:r>
            <w:r>
              <w:instrText xml:space="preserve"> XE "Project Lite"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337" w:name="_Sec778"/>
      <w:r>
        <w:t>2. Condições do Produto</w:t>
      </w:r>
      <w:bookmarkEnd w:id="337"/>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338" w:name="_Sec668"/>
      <w:r>
        <w:t>SharePoint Online</w:t>
      </w:r>
      <w:bookmarkEnd w:id="338"/>
      <w:r>
        <w:fldChar w:fldCharType="begin"/>
      </w:r>
      <w:r>
        <w:instrText xml:space="preserve"> TC "</w:instrText>
      </w:r>
      <w:bookmarkStart w:id="339" w:name="_Toc452110526"/>
      <w:r>
        <w:instrText>SharePoint Online</w:instrText>
      </w:r>
      <w:bookmarkEnd w:id="339"/>
      <w:r>
        <w:instrText>" \l 3</w:instrText>
      </w:r>
      <w:r>
        <w:fldChar w:fldCharType="end"/>
      </w:r>
    </w:p>
    <w:p w:rsidR="00D87CDE" w:rsidRDefault="00AC602F">
      <w:pPr>
        <w:pStyle w:val="ProductList-Offering1SubSection"/>
        <w:outlineLvl w:val="3"/>
      </w:pPr>
      <w:bookmarkStart w:id="340" w:name="_Sec724"/>
      <w:r>
        <w:t>1. Disponibilidade do Programa</w:t>
      </w:r>
      <w:bookmarkEnd w:id="340"/>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7F7F7F"/>
              <w:right w:val="none" w:sz="4" w:space="0" w:color="6E6E6E"/>
            </w:tcBorders>
          </w:tcPr>
          <w:p w:rsidR="00D87CDE" w:rsidRDefault="00AC602F">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7F7F7F"/>
              <w:left w:val="none" w:sz="4" w:space="0" w:color="6E6E6E"/>
              <w:bottom w:val="dashed" w:sz="4" w:space="0" w:color="7F7F7F"/>
              <w:right w:val="none" w:sz="4" w:space="0" w:color="6E6E6E"/>
            </w:tcBorders>
          </w:tcPr>
          <w:p w:rsidR="00D87CDE" w:rsidRDefault="00AC602F">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7F7F7F"/>
              <w:left w:val="none" w:sz="4" w:space="0" w:color="6E6E6E"/>
              <w:bottom w:val="dashed" w:sz="4" w:space="0" w:color="7F7F7F"/>
              <w:right w:val="none" w:sz="4" w:space="0" w:color="6E6E6E"/>
            </w:tcBorders>
          </w:tcPr>
          <w:p w:rsidR="00D87CDE" w:rsidRDefault="00AC602F">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7F7F7F"/>
              <w:left w:val="none" w:sz="4" w:space="0" w:color="6E6E6E"/>
              <w:bottom w:val="none" w:sz="4" w:space="0" w:color="BFBFBF"/>
              <w:right w:val="none" w:sz="4" w:space="0" w:color="6E6E6E"/>
            </w:tcBorders>
          </w:tcPr>
          <w:p w:rsidR="00D87CDE" w:rsidRDefault="00AC602F">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3"/>
      </w:pPr>
      <w:bookmarkStart w:id="341" w:name="_Sec779"/>
      <w:r>
        <w:t>2. Condições do Produto</w:t>
      </w:r>
      <w:bookmarkEnd w:id="341"/>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Pré-requisito: SLs de Utilizador de Suplementos</w:t>
      </w:r>
    </w:p>
    <w:p w:rsidR="00D87CDE" w:rsidRDefault="00AC602F">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D87CDE" w:rsidRDefault="00D87CDE">
      <w:pPr>
        <w:pStyle w:val="ProductList-Body"/>
      </w:pPr>
    </w:p>
    <w:p w:rsidR="00D87CDE" w:rsidRDefault="00AC602F">
      <w:pPr>
        <w:pStyle w:val="ProductList-ClauseHeading"/>
        <w:outlineLvl w:val="4"/>
      </w:pPr>
      <w:r>
        <w:t>2.2 Resgate da Chave do SharePoint Online Plan 1 com Yammer e SharePoint Online Plan 2 com Yammer</w:t>
      </w:r>
    </w:p>
    <w:p w:rsidR="00D87CDE" w:rsidRDefault="00AC602F">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342" w:name="_Sec669"/>
      <w:r>
        <w:t>Skype para Empresas Online</w:t>
      </w:r>
      <w:bookmarkEnd w:id="342"/>
      <w:r>
        <w:fldChar w:fldCharType="begin"/>
      </w:r>
      <w:r>
        <w:instrText xml:space="preserve"> TC "</w:instrText>
      </w:r>
      <w:bookmarkStart w:id="343" w:name="_Toc452110527"/>
      <w:r>
        <w:instrText>Skype para Empresas Online</w:instrText>
      </w:r>
      <w:bookmarkEnd w:id="343"/>
      <w:r>
        <w:instrText>" \l 3</w:instrText>
      </w:r>
      <w:r>
        <w:fldChar w:fldCharType="end"/>
      </w:r>
    </w:p>
    <w:p w:rsidR="00D87CDE" w:rsidRDefault="00AC602F">
      <w:pPr>
        <w:pStyle w:val="ProductList-Offering1SubSection"/>
        <w:outlineLvl w:val="3"/>
      </w:pPr>
      <w:bookmarkStart w:id="344" w:name="_Sec725"/>
      <w:r>
        <w:t>1. Disponibilidade do Programa</w:t>
      </w:r>
      <w:bookmarkEnd w:id="344"/>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A5A5A5"/>
              <w:right w:val="none" w:sz="4" w:space="0" w:color="6E6E6E"/>
            </w:tcBorders>
          </w:tcPr>
          <w:p w:rsidR="00D87CDE" w:rsidRDefault="00AC602F">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A5A5A5"/>
              <w:left w:val="none" w:sz="4" w:space="0" w:color="6E6E6E"/>
              <w:bottom w:val="dashed" w:sz="4" w:space="0" w:color="A5A5A5"/>
              <w:right w:val="none" w:sz="4" w:space="0" w:color="6E6E6E"/>
            </w:tcBorders>
          </w:tcPr>
          <w:p w:rsidR="00D87CDE" w:rsidRDefault="00AC602F">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A5A5A5"/>
              <w:left w:val="none" w:sz="4" w:space="0" w:color="6E6E6E"/>
              <w:bottom w:val="dashed" w:sz="4" w:space="0" w:color="A5A5A5"/>
              <w:right w:val="none" w:sz="4" w:space="0" w:color="6E6E6E"/>
            </w:tcBorders>
          </w:tcPr>
          <w:p w:rsidR="00D87CDE" w:rsidRDefault="00AC602F">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A5A5A5"/>
              <w:left w:val="none" w:sz="4" w:space="0" w:color="6E6E6E"/>
              <w:bottom w:val="dashed" w:sz="4" w:space="0" w:color="A5A5A5"/>
              <w:right w:val="none" w:sz="4" w:space="0" w:color="6E6E6E"/>
            </w:tcBorders>
          </w:tcPr>
          <w:p w:rsidR="00D87CDE" w:rsidRDefault="00AC602F">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A5A5A5"/>
              <w:left w:val="none" w:sz="4" w:space="0" w:color="6E6E6E"/>
              <w:bottom w:val="dashed" w:sz="4" w:space="0" w:color="A5A5A5"/>
              <w:right w:val="none" w:sz="4" w:space="0" w:color="6E6E6E"/>
            </w:tcBorders>
          </w:tcPr>
          <w:p w:rsidR="00D87CDE" w:rsidRDefault="00AC602F">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A5A5A5"/>
              <w:left w:val="none" w:sz="4" w:space="0" w:color="6E6E6E"/>
              <w:bottom w:val="dashed" w:sz="4" w:space="0" w:color="A5A5A5"/>
              <w:right w:val="none" w:sz="4" w:space="0" w:color="6E6E6E"/>
            </w:tcBorders>
          </w:tcPr>
          <w:p w:rsidR="00D87CDE" w:rsidRDefault="00AC602F">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87CDE">
        <w:tc>
          <w:tcPr>
            <w:tcW w:w="5020" w:type="dxa"/>
            <w:tcBorders>
              <w:top w:val="dashed" w:sz="4" w:space="0" w:color="A5A5A5"/>
              <w:left w:val="none" w:sz="4" w:space="0" w:color="6E6E6E"/>
              <w:bottom w:val="dashed" w:sz="4" w:space="0" w:color="A5A5A5"/>
              <w:right w:val="none" w:sz="4" w:space="0" w:color="6E6E6E"/>
            </w:tcBorders>
          </w:tcPr>
          <w:p w:rsidR="00D87CDE" w:rsidRDefault="00AC602F">
            <w:pPr>
              <w:pStyle w:val="ProductList-TableBody"/>
            </w:pPr>
            <w:r>
              <w:t>Consumo RTPC do Skype para Empresas</w:t>
            </w:r>
            <w:r>
              <w:fldChar w:fldCharType="begin"/>
            </w:r>
            <w:r>
              <w:instrText xml:space="preserve"> XE "Consumo RTPC do Skype para Empresas"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A5A5A5"/>
              <w:left w:val="none" w:sz="4" w:space="0" w:color="6E6E6E"/>
              <w:bottom w:val="none" w:sz="4" w:space="0" w:color="BFBFBF"/>
              <w:right w:val="none" w:sz="4" w:space="0" w:color="6E6E6E"/>
            </w:tcBorders>
          </w:tcPr>
          <w:p w:rsidR="00D87CDE" w:rsidRDefault="00AC602F">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860" w:type="dxa"/>
            <w:tcBorders>
              <w:top w:val="dashed" w:sz="4" w:space="0" w:color="A5A5A5"/>
              <w:left w:val="none" w:sz="4" w:space="0" w:color="6E6E6E"/>
              <w:bottom w:val="none"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345" w:name="_Sec780"/>
      <w:r>
        <w:t>2. Condições do Produto</w:t>
      </w:r>
      <w:bookmarkEnd w:id="345"/>
    </w:p>
    <w:tbl>
      <w:tblPr>
        <w:tblStyle w:val="PURTable"/>
        <w:tblW w:w="0" w:type="dxa"/>
        <w:tblLook w:val="04A0" w:firstRow="1" w:lastRow="0" w:firstColumn="1" w:lastColumn="0" w:noHBand="0" w:noVBand="1"/>
      </w:tblPr>
      <w:tblGrid>
        <w:gridCol w:w="3599"/>
        <w:gridCol w:w="3585"/>
        <w:gridCol w:w="3606"/>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o Consumo RTPC do Skype para Empresas)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o Consumo RTPC do Skype para Empresas)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Lync for Mac 2011</w:t>
      </w:r>
    </w:p>
    <w:p w:rsidR="00D87CDE" w:rsidRDefault="00AC602F">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D87CDE" w:rsidRDefault="00D87CDE">
      <w:pPr>
        <w:pStyle w:val="ProductList-Body"/>
      </w:pPr>
    </w:p>
    <w:p w:rsidR="00D87CDE" w:rsidRDefault="00AC602F">
      <w:pPr>
        <w:pStyle w:val="ProductList-ClauseHeading"/>
        <w:outlineLvl w:val="4"/>
      </w:pPr>
      <w:r>
        <w:t>2.2 Pré-requisito: SLs de Utilizador de Suplementos</w:t>
      </w:r>
    </w:p>
    <w:p w:rsidR="00D87CDE" w:rsidRDefault="00AC602F">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D87CDE" w:rsidRDefault="00D87CDE">
      <w:pPr>
        <w:pStyle w:val="ProductList-Body"/>
      </w:pPr>
    </w:p>
    <w:p w:rsidR="00D87CDE" w:rsidRDefault="00AC602F">
      <w:pPr>
        <w:pStyle w:val="ProductList-ClauseHeading"/>
        <w:outlineLvl w:val="4"/>
      </w:pPr>
      <w:r>
        <w:t>2.3 Consumo RTPC do Skype para Empresas</w:t>
      </w:r>
    </w:p>
    <w:p w:rsidR="00D87CDE" w:rsidRDefault="00AC602F">
      <w:pPr>
        <w:pStyle w:val="ProductList-Body"/>
      </w:pPr>
      <w:r>
        <w:t xml:space="preserve">Os serviços do Consumo RTPC do Skype para Empresas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serviços do Consumo RTPC do Skype para Empresas podem ser utilizados para esses serviços e a parte destes fundos que não for utilizada no prazo de 12 meses após a data da transação será confiscada. </w:t>
      </w:r>
    </w:p>
    <w:p w:rsidR="00D87CDE" w:rsidRDefault="00D87CDE">
      <w:pPr>
        <w:pStyle w:val="ProductList-Body"/>
      </w:pPr>
    </w:p>
    <w:p w:rsidR="00D87CDE" w:rsidRDefault="00AC602F">
      <w:pPr>
        <w:pStyle w:val="ProductList-Body"/>
      </w:pPr>
      <w:r>
        <w:t>Os encargos de utilização irão basear-se nas taxas publicadas pela Microsoft quando os serviços foram utilizados. Os serviços do Consumo RTPC do Skype para Empresas estão isentos de preços fixos, não obstante qualquer referência aos preços fixados ao abrigo do contrato de licenciamento em volume aplicável.</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GroupHeading"/>
        <w:outlineLvl w:val="1"/>
      </w:pPr>
      <w:bookmarkStart w:id="346" w:name="_Sec635"/>
      <w:r>
        <w:t>Outros Serviços Online</w:t>
      </w:r>
      <w:bookmarkEnd w:id="346"/>
      <w:r>
        <w:fldChar w:fldCharType="begin"/>
      </w:r>
      <w:r>
        <w:instrText xml:space="preserve"> TC "</w:instrText>
      </w:r>
      <w:bookmarkStart w:id="347" w:name="_Toc452110528"/>
      <w:r>
        <w:instrText>Outros Serviços Online</w:instrText>
      </w:r>
      <w:bookmarkEnd w:id="347"/>
      <w:r>
        <w:instrText>" \l 2</w:instrText>
      </w:r>
      <w:r>
        <w:fldChar w:fldCharType="end"/>
      </w:r>
    </w:p>
    <w:p w:rsidR="00D87CDE" w:rsidRDefault="00AC602F">
      <w:pPr>
        <w:pStyle w:val="ProductList-Offering2HeadingNoBorder"/>
        <w:outlineLvl w:val="2"/>
      </w:pPr>
      <w:bookmarkStart w:id="348" w:name="_Sec670"/>
      <w:r>
        <w:t>Mapas Bing</w:t>
      </w:r>
      <w:bookmarkEnd w:id="348"/>
      <w:r>
        <w:fldChar w:fldCharType="begin"/>
      </w:r>
      <w:r>
        <w:instrText xml:space="preserve"> TC "</w:instrText>
      </w:r>
      <w:bookmarkStart w:id="349" w:name="_Toc452110529"/>
      <w:r>
        <w:instrText>Mapas Bing</w:instrText>
      </w:r>
      <w:bookmarkEnd w:id="349"/>
      <w:r>
        <w:instrText>" \l 3</w:instrText>
      </w:r>
      <w:r>
        <w:fldChar w:fldCharType="end"/>
      </w:r>
    </w:p>
    <w:p w:rsidR="00D87CDE" w:rsidRDefault="00AC602F">
      <w:pPr>
        <w:pStyle w:val="ProductList-Offering1SubSection"/>
        <w:outlineLvl w:val="3"/>
      </w:pPr>
      <w:bookmarkStart w:id="350" w:name="_Sec726"/>
      <w:r>
        <w:t>1. Disponibilidade do Programa</w:t>
      </w:r>
      <w:bookmarkEnd w:id="350"/>
    </w:p>
    <w:tbl>
      <w:tblPr>
        <w:tblStyle w:val="PURTable"/>
        <w:tblW w:w="0" w:type="dxa"/>
        <w:tblLook w:val="04A0" w:firstRow="1" w:lastRow="0" w:firstColumn="1" w:lastColumn="0" w:noHBand="0" w:noVBand="1"/>
      </w:tblPr>
      <w:tblGrid>
        <w:gridCol w:w="4455"/>
        <w:gridCol w:w="810"/>
        <w:gridCol w:w="781"/>
        <w:gridCol w:w="795"/>
        <w:gridCol w:w="706"/>
        <w:gridCol w:w="828"/>
        <w:gridCol w:w="821"/>
        <w:gridCol w:w="800"/>
        <w:gridCol w:w="788"/>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Bing Maps Asset Management for Windows Europa ou América do Norte</w:t>
            </w:r>
            <w:r>
              <w:fldChar w:fldCharType="begin"/>
            </w:r>
            <w:r>
              <w:instrText xml:space="preserve"> XE "Bing Maps Asset Management for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Subscrição Mensal Bing Maps Asset Management for Windows Platform Fee</w:t>
            </w:r>
            <w:r>
              <w:fldChar w:fldCharType="begin"/>
            </w:r>
            <w:r>
              <w:instrText xml:space="preserve"> XE "Subscrição Mensal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351" w:name="_Sec781"/>
      <w:r>
        <w:t>2. Condições do Produto</w:t>
      </w:r>
      <w:bookmarkEnd w:id="351"/>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Transações Cobráveis</w:t>
      </w:r>
    </w:p>
    <w:p w:rsidR="00D87CDE" w:rsidRDefault="00AC602F">
      <w:pPr>
        <w:pStyle w:val="ProductList-Body"/>
      </w:pPr>
      <w:r>
        <w:t>Cada Bing Maps Public Website Usage Add-on SL e Bing Maps Internal Website Usage Add-on SL confere ao Cliente o número de Transações Cobráveis especificadas no nome do Produto. Na data de expiração da inscrição, todas as Transações Cobráveis adquiridas e não utilizadas são confiscadas.</w:t>
      </w:r>
    </w:p>
    <w:p w:rsidR="00D87CDE" w:rsidRDefault="00D87CDE">
      <w:pPr>
        <w:pStyle w:val="ProductList-Body"/>
      </w:pPr>
    </w:p>
    <w:p w:rsidR="00D87CDE" w:rsidRDefault="00AC602F">
      <w:pPr>
        <w:pStyle w:val="ProductList-ClauseHeading"/>
        <w:outlineLvl w:val="4"/>
      </w:pPr>
      <w:r>
        <w:t>2.2 Bing Maps Platinum Add-on SL</w:t>
      </w:r>
    </w:p>
    <w:p w:rsidR="00D87CDE" w:rsidRDefault="00AC602F">
      <w:pPr>
        <w:pStyle w:val="ProductList-Body"/>
      </w:pPr>
      <w:r>
        <w:t>A Bing Maps Platinum Add-on SL pode ser adquirida apenas uma vez por inscrição e tem um limite de utilização de 400 milhões de Transações Cobráveis por ano. Os clientes que excedam este limite têm de adquirir mais Transações Cobráveis.</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352" w:name="_Sec672"/>
      <w:r>
        <w:t>Microsoft Learning</w:t>
      </w:r>
      <w:bookmarkEnd w:id="352"/>
      <w:r>
        <w:fldChar w:fldCharType="begin"/>
      </w:r>
      <w:r>
        <w:instrText xml:space="preserve"> TC "</w:instrText>
      </w:r>
      <w:bookmarkStart w:id="353" w:name="_Toc452110530"/>
      <w:r>
        <w:instrText>Microsoft Learning</w:instrText>
      </w:r>
      <w:bookmarkEnd w:id="353"/>
      <w:r>
        <w:instrText>" \l 3</w:instrText>
      </w:r>
      <w:r>
        <w:fldChar w:fldCharType="end"/>
      </w:r>
    </w:p>
    <w:p w:rsidR="00D87CDE" w:rsidRDefault="00AC602F">
      <w:pPr>
        <w:pStyle w:val="ProductList-Offering1SubSection"/>
        <w:outlineLvl w:val="3"/>
      </w:pPr>
      <w:bookmarkStart w:id="354" w:name="_Sec728"/>
      <w:r>
        <w:t>1. Disponibilidade do Programa</w:t>
      </w:r>
      <w:bookmarkEnd w:id="354"/>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5020" w:type="dxa"/>
            <w:tcBorders>
              <w:top w:val="dashed" w:sz="4" w:space="0" w:color="BFBFBF"/>
              <w:left w:val="none" w:sz="4" w:space="0" w:color="6E6E6E"/>
              <w:bottom w:val="dashed" w:sz="4" w:space="0" w:color="BFBFBF"/>
              <w:right w:val="none" w:sz="4" w:space="0" w:color="6E6E6E"/>
            </w:tcBorders>
          </w:tcPr>
          <w:p w:rsidR="00D87CDE" w:rsidRDefault="00AC602F">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87CDE" w:rsidRDefault="00AC602F">
      <w:pPr>
        <w:pStyle w:val="ProductList-Offering1SubSection"/>
        <w:outlineLvl w:val="3"/>
      </w:pPr>
      <w:bookmarkStart w:id="355" w:name="_Sec783"/>
      <w:r>
        <w:t>2. Condições do Produto</w:t>
      </w:r>
      <w:bookmarkEnd w:id="355"/>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pPr>
    </w:p>
    <w:p w:rsidR="00D87CDE" w:rsidRDefault="00AC602F">
      <w:pPr>
        <w:pStyle w:val="ProductList-ClauseHeading"/>
        <w:outlineLvl w:val="4"/>
      </w:pPr>
      <w:r>
        <w:t>2.1 Vouchers</w:t>
      </w:r>
    </w:p>
    <w:p w:rsidR="00D87CDE" w:rsidRDefault="00AC602F">
      <w:pPr>
        <w:pStyle w:val="ProductList-Body"/>
      </w:pPr>
      <w:r>
        <w:t xml:space="preserve">Os vouchers são fornecidos no momento da aquisição e expiram 12 meses depois da data de aquisição. </w:t>
      </w:r>
    </w:p>
    <w:p w:rsidR="00D87CDE" w:rsidRDefault="00D87CDE">
      <w:pPr>
        <w:pStyle w:val="ProductList-Body"/>
      </w:pPr>
    </w:p>
    <w:p w:rsidR="00D87CDE" w:rsidRDefault="00AC602F">
      <w:pPr>
        <w:pStyle w:val="ProductList-ClauseHeading"/>
        <w:outlineLvl w:val="4"/>
      </w:pPr>
      <w:r>
        <w:t>2.2 Microsoft Office Specialist (MOS) Microsoft Technology Associate (MTA) e Microsoft Certification Educator Exam Site License</w:t>
      </w:r>
    </w:p>
    <w:p w:rsidR="00D87CDE" w:rsidRDefault="00AC602F">
      <w:pPr>
        <w:pStyle w:val="ProductList-Body"/>
      </w:pPr>
      <w:r>
        <w:t xml:space="preserve">O Cliente tem de ser um centro de testes autorizado Certiport para ser elegível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de certificação não utilizados serão confiscados.</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356" w:name="_Sec673"/>
      <w:r>
        <w:t>Microsoft Translator</w:t>
      </w:r>
      <w:bookmarkEnd w:id="356"/>
      <w:r>
        <w:fldChar w:fldCharType="begin"/>
      </w:r>
      <w:r>
        <w:instrText xml:space="preserve"> TC "</w:instrText>
      </w:r>
      <w:bookmarkStart w:id="357" w:name="_Toc452110531"/>
      <w:r>
        <w:instrText>Microsoft Translator</w:instrText>
      </w:r>
      <w:bookmarkEnd w:id="357"/>
      <w:r>
        <w:instrText>" \l 3</w:instrText>
      </w:r>
      <w:r>
        <w:fldChar w:fldCharType="end"/>
      </w:r>
    </w:p>
    <w:p w:rsidR="00D87CDE" w:rsidRDefault="00AC602F">
      <w:pPr>
        <w:pStyle w:val="ProductList-Offering1SubSection"/>
        <w:outlineLvl w:val="3"/>
      </w:pPr>
      <w:bookmarkStart w:id="358" w:name="_Sec729"/>
      <w:r>
        <w:t>1. Disponibilidade do Programa</w:t>
      </w:r>
      <w:bookmarkEnd w:id="35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none" w:sz="4" w:space="0" w:color="BFBFBF"/>
              <w:right w:val="none" w:sz="4" w:space="0" w:color="6E6E6E"/>
            </w:tcBorders>
          </w:tcPr>
          <w:p w:rsidR="00D87CDE" w:rsidRDefault="00AC602F">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359" w:name="_Sec784"/>
      <w:r>
        <w:t>2. Condições do Produto</w:t>
      </w:r>
      <w:bookmarkEnd w:id="359"/>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360" w:name="_Sec674"/>
      <w:r>
        <w:t>Power BI Pro</w:t>
      </w:r>
      <w:bookmarkEnd w:id="360"/>
      <w:r>
        <w:fldChar w:fldCharType="begin"/>
      </w:r>
      <w:r>
        <w:instrText xml:space="preserve"> TC "</w:instrText>
      </w:r>
      <w:bookmarkStart w:id="361" w:name="_Toc452110532"/>
      <w:r>
        <w:instrText>Power BI Pro</w:instrText>
      </w:r>
      <w:bookmarkEnd w:id="361"/>
      <w:r>
        <w:instrText>" \l 3</w:instrText>
      </w:r>
      <w:r>
        <w:fldChar w:fldCharType="end"/>
      </w:r>
    </w:p>
    <w:p w:rsidR="00D87CDE" w:rsidRDefault="00AC602F">
      <w:pPr>
        <w:pStyle w:val="ProductList-Offering1SubSection"/>
        <w:outlineLvl w:val="3"/>
      </w:pPr>
      <w:bookmarkStart w:id="362" w:name="_Sec730"/>
      <w:r>
        <w:t>1. Disponibilidade do Programa</w:t>
      </w:r>
      <w:bookmarkEnd w:id="362"/>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dashed" w:sz="4" w:space="0" w:color="BFBFBF"/>
              <w:right w:val="none" w:sz="4" w:space="0" w:color="6E6E6E"/>
            </w:tcBorders>
          </w:tcPr>
          <w:p w:rsidR="00D87CDE" w:rsidRDefault="00AC602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5020" w:type="dxa"/>
            <w:tcBorders>
              <w:top w:val="dashed" w:sz="4" w:space="0" w:color="BFBFBF"/>
              <w:left w:val="none" w:sz="4" w:space="0" w:color="6E6E6E"/>
              <w:bottom w:val="none" w:sz="4" w:space="0" w:color="BFBFBF"/>
              <w:right w:val="none" w:sz="4" w:space="0" w:color="6E6E6E"/>
            </w:tcBorders>
          </w:tcPr>
          <w:p w:rsidR="00D87CDE" w:rsidRDefault="00AC602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87CDE" w:rsidRDefault="00AC602F">
      <w:pPr>
        <w:pStyle w:val="ProductList-Offering1SubSection"/>
        <w:outlineLvl w:val="3"/>
      </w:pPr>
      <w:bookmarkStart w:id="363" w:name="_Sec785"/>
      <w:r>
        <w:t>2. Condições do Produto</w:t>
      </w:r>
      <w:bookmarkEnd w:id="363"/>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Período Suplementar Elegível: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2HeadingNoBorder"/>
        <w:outlineLvl w:val="2"/>
      </w:pPr>
      <w:bookmarkStart w:id="364" w:name="_Sec676"/>
      <w:r>
        <w:t>Yammer Enterprise</w:t>
      </w:r>
      <w:bookmarkEnd w:id="364"/>
      <w:r>
        <w:fldChar w:fldCharType="begin"/>
      </w:r>
      <w:r>
        <w:instrText xml:space="preserve"> TC "</w:instrText>
      </w:r>
      <w:bookmarkStart w:id="365" w:name="_Toc452110533"/>
      <w:r>
        <w:instrText>Yammer Enterprise</w:instrText>
      </w:r>
      <w:bookmarkEnd w:id="365"/>
      <w:r>
        <w:instrText>" \l 3</w:instrText>
      </w:r>
      <w:r>
        <w:fldChar w:fldCharType="end"/>
      </w:r>
    </w:p>
    <w:p w:rsidR="00D87CDE" w:rsidRDefault="00AC602F">
      <w:pPr>
        <w:pStyle w:val="ProductList-Offering1SubSection"/>
        <w:outlineLvl w:val="3"/>
      </w:pPr>
      <w:bookmarkStart w:id="366" w:name="_Sec732"/>
      <w:r>
        <w:t>1. Disponibilidade do Programa</w:t>
      </w:r>
      <w:bookmarkEnd w:id="366"/>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D87C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CDE" w:rsidRDefault="00AC60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CDE">
        <w:tc>
          <w:tcPr>
            <w:tcW w:w="5020" w:type="dxa"/>
            <w:tcBorders>
              <w:top w:val="single" w:sz="6" w:space="0" w:color="FFFFFF"/>
              <w:left w:val="none" w:sz="4" w:space="0" w:color="6E6E6E"/>
              <w:bottom w:val="none" w:sz="4" w:space="0" w:color="BFBFBF"/>
              <w:right w:val="none" w:sz="4" w:space="0" w:color="6E6E6E"/>
            </w:tcBorders>
          </w:tcPr>
          <w:p w:rsidR="00D87CDE" w:rsidRDefault="00AC602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87CDE" w:rsidRDefault="00AC60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CDE" w:rsidRDefault="00AC602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bl>
    <w:p w:rsidR="00D87CDE" w:rsidRDefault="00AC602F">
      <w:pPr>
        <w:pStyle w:val="ProductList-Offering1SubSection"/>
        <w:outlineLvl w:val="3"/>
      </w:pPr>
      <w:bookmarkStart w:id="367" w:name="_Sec787"/>
      <w:r>
        <w:t>2. Condições do Produto</w:t>
      </w:r>
      <w:bookmarkEnd w:id="367"/>
    </w:p>
    <w:tbl>
      <w:tblPr>
        <w:tblStyle w:val="PURTable"/>
        <w:tblW w:w="0" w:type="dxa"/>
        <w:tblLook w:val="04A0" w:firstRow="1" w:lastRow="0" w:firstColumn="1" w:lastColumn="0" w:noHBand="0" w:noVBand="1"/>
      </w:tblPr>
      <w:tblGrid>
        <w:gridCol w:w="3601"/>
        <w:gridCol w:w="3581"/>
        <w:gridCol w:w="3608"/>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Promoções: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CDE" w:rsidRDefault="00AC602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Redução Elegível (SCE): N/A</w:t>
            </w:r>
          </w:p>
        </w:tc>
      </w:tr>
      <w:tr w:rsidR="00D87C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AC602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CDE" w:rsidRDefault="00D87CDE">
            <w:pPr>
              <w:pStyle w:val="ProductList-TableBody"/>
            </w:pPr>
          </w:p>
        </w:tc>
      </w:tr>
    </w:tbl>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D87CDE">
      <w:pPr>
        <w:sectPr w:rsidR="00D87CDE">
          <w:headerReference w:type="default" r:id="rId128"/>
          <w:footerReference w:type="default" r:id="rId129"/>
          <w:type w:val="continuous"/>
          <w:pgSz w:w="12240" w:h="15840" w:code="1"/>
          <w:pgMar w:top="1170" w:right="720" w:bottom="720" w:left="720" w:header="432" w:footer="288" w:gutter="0"/>
          <w:cols w:space="360"/>
        </w:sectPr>
      </w:pPr>
    </w:p>
    <w:p w:rsidR="00D87CDE" w:rsidRDefault="00AC602F">
      <w:pPr>
        <w:pStyle w:val="ProductList-SectionHeading"/>
        <w:pageBreakBefore/>
        <w:outlineLvl w:val="0"/>
      </w:pPr>
      <w:bookmarkStart w:id="368" w:name="_Sec549"/>
      <w:bookmarkEnd w:id="215"/>
      <w:r>
        <w:t>Glossário</w:t>
      </w:r>
      <w:r>
        <w:fldChar w:fldCharType="begin"/>
      </w:r>
      <w:r>
        <w:instrText xml:space="preserve"> TC "</w:instrText>
      </w:r>
      <w:bookmarkStart w:id="369" w:name="_Toc452110534"/>
      <w:r>
        <w:instrText>Glossário</w:instrText>
      </w:r>
      <w:bookmarkEnd w:id="369"/>
      <w:r>
        <w:instrText>" \l 1</w:instrText>
      </w:r>
      <w:r>
        <w:fldChar w:fldCharType="end"/>
      </w:r>
    </w:p>
    <w:p w:rsidR="00D87CDE" w:rsidRDefault="00AC602F">
      <w:pPr>
        <w:pStyle w:val="ProductList-Offering1Heading"/>
        <w:outlineLvl w:val="1"/>
      </w:pPr>
      <w:bookmarkStart w:id="370" w:name="_Sec550"/>
      <w:r>
        <w:t>Atributos</w:t>
      </w:r>
      <w:bookmarkEnd w:id="370"/>
      <w:r>
        <w:fldChar w:fldCharType="begin"/>
      </w:r>
      <w:r>
        <w:instrText xml:space="preserve"> TC "</w:instrText>
      </w:r>
      <w:bookmarkStart w:id="371" w:name="_Toc452110535"/>
      <w:r>
        <w:instrText>Atributos</w:instrText>
      </w:r>
      <w:bookmarkEnd w:id="371"/>
      <w:r>
        <w:instrText>" \l 2</w:instrText>
      </w:r>
      <w:r>
        <w:fldChar w:fldCharType="end"/>
      </w:r>
    </w:p>
    <w:p w:rsidR="00D87CDE" w:rsidRDefault="00AC602F">
      <w:pPr>
        <w:pStyle w:val="ProductList-BodySpaced"/>
      </w:pPr>
      <w:r>
        <w:t>Os atributos são identificados nas tabelas em cada Entrada de Produto e indicam os direitos ou condições aplicáveis aos Produtos.</w:t>
      </w:r>
    </w:p>
    <w:p w:rsidR="00D87CDE" w:rsidRDefault="00D87CDE">
      <w:pPr>
        <w:pStyle w:val="ProductList-BodySpaced"/>
      </w:pPr>
    </w:p>
    <w:p w:rsidR="00D87CDE" w:rsidRDefault="00AC602F">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D87CDE" w:rsidRDefault="00AC602F">
      <w:pPr>
        <w:pStyle w:val="ProductList-BodySpaced"/>
      </w:pPr>
      <w:r>
        <w:rPr>
          <w:b/>
          <w:color w:val="00188F"/>
        </w:rPr>
        <w:t>Requisito de Acesso de Cliente</w:t>
      </w:r>
      <w:r>
        <w:t>: Indica se um Produto de Servidor requer ou não CALs para acesso por parte de utilizadores e dispositivos.</w:t>
      </w:r>
    </w:p>
    <w:p w:rsidR="00D87CDE" w:rsidRDefault="00AC602F">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D87CDE" w:rsidRDefault="00AC602F">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D87CDE" w:rsidRDefault="00AC602F">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D87CDE" w:rsidRDefault="00AC602F">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D87CDE" w:rsidRDefault="00AC602F">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D87CDE" w:rsidRDefault="00AC602F">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oferecidos como serviços em nuvem da comunidade pública não são elegíveis para a reserva de Licença.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D87CDE" w:rsidRDefault="00AC602F">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D87CDE" w:rsidRDefault="00AC602F">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D87CDE" w:rsidRDefault="00AC602F">
      <w:pPr>
        <w:pStyle w:val="ProductList-BodySpaced"/>
      </w:pPr>
      <w:r>
        <w:rPr>
          <w:b/>
          <w:color w:val="00188F"/>
        </w:rPr>
        <w:t>Termos de Licenciamento</w:t>
      </w:r>
      <w:r>
        <w:t>: Termos e condições que regem a implementação e utilização de um Produto.</w:t>
      </w:r>
    </w:p>
    <w:p w:rsidR="00D87CDE" w:rsidRDefault="00AC602F">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D87CDE" w:rsidRDefault="00AC602F">
      <w:pPr>
        <w:pStyle w:val="ProductList-BodySpaced"/>
      </w:pPr>
      <w:r>
        <w:rPr>
          <w:b/>
          <w:color w:val="00188F"/>
        </w:rPr>
        <w:t>Pré-requisito</w:t>
      </w:r>
      <w:r>
        <w:t>: Indica que determinadas condições adicionais devem ser cumpridas para poder adquirir Licenças para o Produto.</w:t>
      </w:r>
    </w:p>
    <w:p w:rsidR="00D87CDE" w:rsidRDefault="00AC602F">
      <w:pPr>
        <w:pStyle w:val="ProductList-BodySpaced"/>
      </w:pPr>
      <w:r>
        <w:rPr>
          <w:b/>
          <w:color w:val="00188F"/>
        </w:rPr>
        <w:t>Pré-requisito (SA)</w:t>
      </w:r>
      <w:r>
        <w:t>:Indica que determinadas condições adicionais devem ser cumpridas para poder adquirir cobertura SA para o Produto.</w:t>
      </w:r>
    </w:p>
    <w:p w:rsidR="00D87CDE" w:rsidRDefault="00AC602F">
      <w:pPr>
        <w:pStyle w:val="ProductList-BodySpaced"/>
      </w:pPr>
      <w:r>
        <w:rPr>
          <w:b/>
          <w:color w:val="00188F"/>
        </w:rPr>
        <w:t>Versão Anterior</w:t>
      </w:r>
      <w:r>
        <w:t>: Versões anteriores do Produto e respetiva Data Disponível.</w:t>
      </w:r>
    </w:p>
    <w:p w:rsidR="00D87CDE" w:rsidRDefault="00AC602F">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D87CDE" w:rsidRDefault="00AC602F">
      <w:pPr>
        <w:pStyle w:val="ProductList-BodySpaced"/>
      </w:pPr>
      <w:r>
        <w:rPr>
          <w:b/>
          <w:color w:val="00188F"/>
        </w:rPr>
        <w:t>Programa de Subscrição Online (OSP)</w:t>
      </w:r>
      <w:r>
        <w:t>: O Produto está disponível num programa de Subscrição Online.</w:t>
      </w:r>
    </w:p>
    <w:p w:rsidR="00D87CDE" w:rsidRDefault="00AC602F">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D87CDE" w:rsidRDefault="00AC602F">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D87CDE" w:rsidRDefault="00AC602F">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D87CDE" w:rsidRDefault="00AC602F">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D87CDE" w:rsidRDefault="00AC602F">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D87CDE" w:rsidRDefault="00AC602F">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D87CDE" w:rsidRDefault="00AC602F">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D87CDE" w:rsidRDefault="00AC602F">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D87CDE" w:rsidRDefault="00AC602F">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D87CDE" w:rsidRDefault="00AC602F">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rsidR="00D87CDE" w:rsidRDefault="00AC602F">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D87CDE" w:rsidRDefault="00AC602F">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D87CDE" w:rsidRDefault="00AC602F">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D87CDE" w:rsidRDefault="00D87CDE">
      <w:pPr>
        <w:pStyle w:val="ProductList-BodySpaced"/>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Spaced"/>
      </w:pPr>
    </w:p>
    <w:p w:rsidR="00D87CDE" w:rsidRDefault="00AC602F">
      <w:pPr>
        <w:pStyle w:val="ProductList-Offering1Heading"/>
        <w:outlineLvl w:val="1"/>
      </w:pPr>
      <w:bookmarkStart w:id="372" w:name="_Sec551"/>
      <w:r>
        <w:t>Valores das Células</w:t>
      </w:r>
      <w:bookmarkEnd w:id="372"/>
      <w:r>
        <w:fldChar w:fldCharType="begin"/>
      </w:r>
      <w:r>
        <w:instrText xml:space="preserve"> TC "</w:instrText>
      </w:r>
      <w:bookmarkStart w:id="373" w:name="_Toc452110536"/>
      <w:r>
        <w:instrText>Valores das Células</w:instrText>
      </w:r>
      <w:bookmarkEnd w:id="373"/>
      <w:r>
        <w:instrText>" \l 2</w:instrText>
      </w:r>
      <w:r>
        <w:fldChar w:fldCharType="end"/>
      </w:r>
    </w:p>
    <w:p w:rsidR="00D87CDE" w:rsidRDefault="00AC602F">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D87CDE" w:rsidRDefault="00D87CDE">
      <w:pPr>
        <w:pStyle w:val="ProductList-BodySpaced"/>
      </w:pPr>
    </w:p>
    <w:p w:rsidR="00D87CDE" w:rsidRDefault="00AC602F">
      <w:pPr>
        <w:pStyle w:val="ProductList-BodySpaced"/>
      </w:pPr>
      <w:r>
        <w:rPr>
          <w:b/>
          <w:color w:val="00188F"/>
        </w:rPr>
        <w:t>A</w:t>
      </w:r>
      <w:r>
        <w:t xml:space="preserve">= </w:t>
      </w:r>
      <w:r>
        <w:rPr>
          <w:color w:val="00188F"/>
        </w:rPr>
        <w:t>Produto Adicional</w:t>
      </w:r>
      <w:r>
        <w:t>: O Produto é oferecido como um Produto Adicional.</w:t>
      </w:r>
    </w:p>
    <w:p w:rsidR="00D87CDE" w:rsidRDefault="00AC602F">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D87CDE" w:rsidRDefault="00AC602F">
      <w:pPr>
        <w:pStyle w:val="ProductList-BodySpaced"/>
      </w:pPr>
      <w:r>
        <w:rPr>
          <w:b/>
          <w:color w:val="00188F"/>
        </w:rPr>
        <w:t>AP</w:t>
      </w:r>
      <w:r>
        <w:t xml:space="preserve"> = </w:t>
      </w:r>
      <w:r>
        <w:rPr>
          <w:color w:val="00188F"/>
        </w:rPr>
        <w:t>Produto de Plataforma de Aplicações</w:t>
      </w:r>
      <w:r>
        <w:t>: O Produto é oferecido como um produto de plataforma de aplicações.</w:t>
      </w:r>
    </w:p>
    <w:p w:rsidR="00D87CDE" w:rsidRDefault="00AC602F">
      <w:pPr>
        <w:pStyle w:val="ProductList-BodySpaced"/>
      </w:pPr>
      <w:r>
        <w:rPr>
          <w:b/>
          <w:color w:val="00188F"/>
        </w:rPr>
        <w:t>C</w:t>
      </w:r>
      <w:r>
        <w:t xml:space="preserve"> = </w:t>
      </w:r>
      <w:r>
        <w:rPr>
          <w:color w:val="00188F"/>
        </w:rPr>
        <w:t>Core Infrastructure</w:t>
      </w:r>
      <w:r>
        <w:t>: O Produto é oferecido como um produto Core Infrastructure.</w:t>
      </w:r>
    </w:p>
    <w:p w:rsidR="00D87CDE" w:rsidRDefault="00AC602F">
      <w:pPr>
        <w:pStyle w:val="ProductList-BodySpaced"/>
      </w:pPr>
      <w:r>
        <w:rPr>
          <w:b/>
          <w:color w:val="00188F"/>
        </w:rPr>
        <w:t>CP</w:t>
      </w:r>
      <w:r>
        <w:t xml:space="preserve"> = </w:t>
      </w:r>
      <w:r>
        <w:rPr>
          <w:color w:val="00188F"/>
        </w:rPr>
        <w:t>Plataforma de Estação de Trabalho Personalizada</w:t>
      </w:r>
      <w:r>
        <w:t>: O Produto é oferecido como um produto de plataforma de estação de trabalho personalizada ao abrigo da Open ou Open Value Subscription para clientes comerciais ou do governo que selecionam a opção Toda a Organização/Toda a Entidade.</w:t>
      </w:r>
    </w:p>
    <w:p w:rsidR="00D87CDE" w:rsidRDefault="00AC602F">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D87CDE" w:rsidRDefault="00AC602F">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D87CDE" w:rsidRDefault="00AC602F">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D87CDE" w:rsidRDefault="00AC602F">
      <w:pPr>
        <w:pStyle w:val="ProductList-BodySpaced"/>
      </w:pPr>
      <w:r>
        <w:rPr>
          <w:b/>
          <w:color w:val="00188F"/>
        </w:rPr>
        <w:t>EP</w:t>
      </w:r>
      <w:r>
        <w:t xml:space="preserve"> = </w:t>
      </w:r>
      <w:r>
        <w:rPr>
          <w:color w:val="00188F"/>
        </w:rPr>
        <w:t>Produto de Plataforma de Estação de Trabalho Enterprise</w:t>
      </w:r>
      <w:r>
        <w:t>: O Produto é oferecido como um Produto Enterprise que é também um produto de plataforma de estação de trabalho Enterprise.</w:t>
      </w:r>
    </w:p>
    <w:p w:rsidR="00D87CDE" w:rsidRDefault="00AC602F">
      <w:pPr>
        <w:pStyle w:val="ProductList-BodySpaced"/>
      </w:pPr>
      <w:r>
        <w:rPr>
          <w:b/>
          <w:color w:val="00188F"/>
        </w:rPr>
        <w:t>ID</w:t>
      </w:r>
      <w:r>
        <w:t xml:space="preserve">= </w:t>
      </w:r>
      <w:r>
        <w:rPr>
          <w:color w:val="00188F"/>
        </w:rPr>
        <w:t>Dispositivo de Indústria</w:t>
      </w:r>
      <w:r>
        <w:t>: O Produto é oferecido como um produto de programa de Dispositivo de Indústria.</w:t>
      </w:r>
    </w:p>
    <w:p w:rsidR="00D87CDE" w:rsidRDefault="00AC602F">
      <w:pPr>
        <w:pStyle w:val="ProductList-BodySpaced"/>
      </w:pPr>
      <w:r>
        <w:rPr>
          <w:b/>
          <w:color w:val="00188F"/>
        </w:rPr>
        <w:t>OA</w:t>
      </w:r>
      <w:r>
        <w:t xml:space="preserve"> = </w:t>
      </w:r>
      <w:r>
        <w:rPr>
          <w:color w:val="00188F"/>
        </w:rPr>
        <w:t>Open License para SA e L/SA</w:t>
      </w:r>
      <w:r>
        <w:t>: Disponível em Open License para L&amp;SA e SA apenas. Cada Licença é contabilizada apenas como 5 Licenças para fins dos requisitos mínimos na encomenda inicial nos Programas Open License e/ou Open Value.</w:t>
      </w:r>
    </w:p>
    <w:p w:rsidR="00D87CDE" w:rsidRDefault="00AC602F">
      <w:pPr>
        <w:pStyle w:val="ProductList-BodySpaced"/>
      </w:pPr>
      <w:r>
        <w:rPr>
          <w:b/>
          <w:color w:val="00188F"/>
        </w:rPr>
        <w:t>OF</w:t>
      </w:r>
      <w:r>
        <w:t xml:space="preserve"> = </w:t>
      </w:r>
      <w:r>
        <w:rPr>
          <w:color w:val="00188F"/>
        </w:rPr>
        <w:t>Open License e Open Value</w:t>
      </w:r>
      <w:r>
        <w:t>: Disponível em Open License e Open Value apenas. Cada Licença é contabilizada apenas como 5 Licenças para fins dos requisitos mínimos na encomenda inicial nos Programas Open License e/ou Open Value.</w:t>
      </w:r>
    </w:p>
    <w:p w:rsidR="00D87CDE" w:rsidRDefault="00AC602F">
      <w:pPr>
        <w:pStyle w:val="ProductList-BodySpaced"/>
      </w:pPr>
      <w:r>
        <w:rPr>
          <w:b/>
          <w:color w:val="00188F"/>
        </w:rPr>
        <w:t>OS</w:t>
      </w:r>
      <w:r>
        <w:t xml:space="preserve">= </w:t>
      </w:r>
      <w:r>
        <w:rPr>
          <w:color w:val="00188F"/>
        </w:rPr>
        <w:t>Open License e Open Value para SA e L/SA</w:t>
      </w:r>
      <w:r>
        <w:t>: Disponível em Open License e Open Value para L&amp;SA e SA apenas. Cada Licença é contabilizada apenas como 5 Licenças para fins dos requisitos mínimos na encomenda inicial nos Programas Open License e/ou Open Value.</w:t>
      </w:r>
    </w:p>
    <w:p w:rsidR="00D87CDE" w:rsidRDefault="00AC602F">
      <w:pPr>
        <w:pStyle w:val="ProductList-BodySpaced"/>
      </w:pPr>
      <w:r>
        <w:rPr>
          <w:b/>
          <w:color w:val="00188F"/>
        </w:rPr>
        <w:t>OVS</w:t>
      </w:r>
      <w:r>
        <w:t xml:space="preserve"> = </w:t>
      </w:r>
      <w:r>
        <w:rPr>
          <w:color w:val="00188F"/>
        </w:rPr>
        <w:t>Open Value Subscription Apenas</w:t>
      </w:r>
      <w:r>
        <w:t>: Disponível em Open Value Subscription apenas.</w:t>
      </w:r>
    </w:p>
    <w:p w:rsidR="00D87CDE" w:rsidRDefault="00AC602F">
      <w:pPr>
        <w:pStyle w:val="ProductList-BodySpaced"/>
      </w:pPr>
      <w:r>
        <w:rPr>
          <w:b/>
          <w:color w:val="00188F"/>
        </w:rPr>
        <w:t>OW</w:t>
      </w:r>
      <w:r>
        <w:t xml:space="preserve"> = </w:t>
      </w:r>
      <w:r>
        <w:rPr>
          <w:color w:val="00188F"/>
        </w:rPr>
        <w:t>Toda a Organização</w:t>
      </w:r>
      <w:r>
        <w:t>: Disponível na opção Toda a Organização.</w:t>
      </w:r>
    </w:p>
    <w:p w:rsidR="00D87CDE" w:rsidRDefault="00AC602F">
      <w:pPr>
        <w:pStyle w:val="ProductList-BodySpaced"/>
      </w:pPr>
      <w:r>
        <w:rPr>
          <w:b/>
          <w:color w:val="00188F"/>
        </w:rPr>
        <w:t>P</w:t>
      </w:r>
      <w:r>
        <w:t xml:space="preserve"> = </w:t>
      </w:r>
      <w:r>
        <w:rPr>
          <w:color w:val="00188F"/>
        </w:rPr>
        <w:t>Não Inclusão de Toda a Organização em Open Value</w:t>
      </w:r>
      <w:r>
        <w:t xml:space="preserve">: O Produto é oferecido numa base de Não Inclusão de Toda a Organização em Open Value. </w:t>
      </w:r>
    </w:p>
    <w:p w:rsidR="00D87CDE" w:rsidRDefault="00AC602F">
      <w:pPr>
        <w:pStyle w:val="ProductList-BodySpaced"/>
      </w:pPr>
      <w:r>
        <w:rPr>
          <w:b/>
          <w:color w:val="00188F"/>
        </w:rPr>
        <w:t>PP</w:t>
      </w:r>
      <w:r>
        <w:t xml:space="preserve">= </w:t>
      </w:r>
      <w:r>
        <w:rPr>
          <w:color w:val="00188F"/>
        </w:rPr>
        <w:t>Produto de Plataforma de Estação de Trabalho Profissional</w:t>
      </w:r>
      <w:r>
        <w:t xml:space="preserve">: O Produto é oferecido como um Produto Enterprise que é também um produto de plataforma de estação de trabalho profissional. </w:t>
      </w:r>
    </w:p>
    <w:p w:rsidR="00D87CDE" w:rsidRDefault="00AC602F">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D87CDE" w:rsidRDefault="00AC602F">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D87CDE" w:rsidRDefault="00AC602F">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D87CDE" w:rsidRDefault="00AC602F">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D87CDE" w:rsidRDefault="00D87CDE">
      <w:pPr>
        <w:pStyle w:val="ProductList-BodySpaced"/>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Spaced"/>
      </w:pPr>
    </w:p>
    <w:p w:rsidR="00D87CDE" w:rsidRDefault="00AC602F">
      <w:pPr>
        <w:pStyle w:val="ProductList-Offering1Heading"/>
        <w:outlineLvl w:val="1"/>
      </w:pPr>
      <w:bookmarkStart w:id="374" w:name="_Sec552"/>
      <w:r>
        <w:t>Títulos das Colunas</w:t>
      </w:r>
      <w:bookmarkEnd w:id="374"/>
      <w:r>
        <w:fldChar w:fldCharType="begin"/>
      </w:r>
      <w:r>
        <w:instrText xml:space="preserve"> TC "</w:instrText>
      </w:r>
      <w:bookmarkStart w:id="375" w:name="_Toc452110537"/>
      <w:r>
        <w:instrText>Títulos das Colunas</w:instrText>
      </w:r>
      <w:bookmarkEnd w:id="375"/>
      <w:r>
        <w:instrText>" \l 2</w:instrText>
      </w:r>
      <w:r>
        <w:fldChar w:fldCharType="end"/>
      </w:r>
    </w:p>
    <w:p w:rsidR="00D87CDE" w:rsidRDefault="00AC602F">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D87CDE" w:rsidRDefault="00D87CDE">
      <w:pPr>
        <w:pStyle w:val="ProductList-BodySpaced"/>
      </w:pPr>
    </w:p>
    <w:p w:rsidR="00D87CDE" w:rsidRDefault="00AC602F">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D87CDE" w:rsidRDefault="00AC602F">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D87CDE" w:rsidRDefault="00AC602F">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D87CDE" w:rsidRDefault="00AC602F">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D87CDE" w:rsidRDefault="00AC602F">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D87CDE" w:rsidRDefault="00AC602F">
      <w:pPr>
        <w:pStyle w:val="ProductList-BodySpaced"/>
      </w:pPr>
      <w:r>
        <w:rPr>
          <w:b/>
          <w:color w:val="00188F"/>
        </w:rPr>
        <w:t>MPSA</w:t>
      </w:r>
      <w:r>
        <w:t xml:space="preserve"> = </w:t>
      </w:r>
      <w:r>
        <w:rPr>
          <w:color w:val="00188F"/>
        </w:rPr>
        <w:t>Contrato de Produtos e Serviços da Microsoft</w:t>
      </w:r>
      <w:r>
        <w:t>.</w:t>
      </w:r>
    </w:p>
    <w:p w:rsidR="00D87CDE" w:rsidRDefault="00AC602F">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D87CDE" w:rsidRDefault="00AC602F">
      <w:pPr>
        <w:pStyle w:val="ProductList-BodySpaced"/>
      </w:pPr>
      <w:r>
        <w:rPr>
          <w:b/>
        </w:rPr>
        <w:t>OV/OVS</w:t>
      </w:r>
      <w:r>
        <w:rPr>
          <w:color w:val="000000"/>
        </w:rPr>
        <w:t xml:space="preserve">= </w:t>
      </w:r>
      <w:r>
        <w:t xml:space="preserve">Open Value e Open Value Subscription: Inclui Open Value, Open Value Subscription, Open Value for Government e Open Value Subscription for Government. </w:t>
      </w:r>
    </w:p>
    <w:p w:rsidR="00D87CDE" w:rsidRDefault="00AC602F">
      <w:pPr>
        <w:pStyle w:val="ProductList-BodySpaced"/>
      </w:pPr>
      <w:r>
        <w:rPr>
          <w:b/>
          <w:color w:val="00188F"/>
        </w:rPr>
        <w:t>OVS-ES</w:t>
      </w:r>
      <w:r>
        <w:t xml:space="preserve"> = </w:t>
      </w:r>
      <w:r>
        <w:rPr>
          <w:color w:val="00188F"/>
        </w:rPr>
        <w:t>Open Value Subscription – Education Solutions</w:t>
      </w:r>
      <w:r>
        <w:t>.</w:t>
      </w:r>
    </w:p>
    <w:p w:rsidR="00D87CDE" w:rsidRDefault="00AC602F">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D87CDE" w:rsidRDefault="00AC602F">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D87CDE" w:rsidRDefault="00AC602F">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D87CDE" w:rsidRDefault="00D87CDE">
      <w:pPr>
        <w:pStyle w:val="ProductList-BodySpaced"/>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Spaced"/>
      </w:pPr>
    </w:p>
    <w:p w:rsidR="00D87CDE" w:rsidRDefault="00AC602F">
      <w:pPr>
        <w:pStyle w:val="ProductList-Offering1Heading"/>
        <w:outlineLvl w:val="1"/>
      </w:pPr>
      <w:bookmarkStart w:id="376" w:name="_Sec553"/>
      <w:r>
        <w:t>Definições</w:t>
      </w:r>
      <w:bookmarkEnd w:id="376"/>
      <w:r>
        <w:fldChar w:fldCharType="begin"/>
      </w:r>
      <w:r>
        <w:instrText xml:space="preserve"> TC "</w:instrText>
      </w:r>
      <w:bookmarkStart w:id="377" w:name="_Toc452110538"/>
      <w:r>
        <w:instrText>Definições</w:instrText>
      </w:r>
      <w:bookmarkEnd w:id="377"/>
      <w:r>
        <w:instrText>" \l 2</w:instrText>
      </w:r>
      <w:r>
        <w:fldChar w:fldCharType="end"/>
      </w:r>
    </w:p>
    <w:p w:rsidR="00D87CDE" w:rsidRDefault="00AC602F">
      <w:pPr>
        <w:pStyle w:val="ProductList-BodySpaced"/>
      </w:pPr>
      <w:r>
        <w:rPr>
          <w:b/>
        </w:rPr>
        <w:t xml:space="preserve">Suplemento </w:t>
      </w:r>
      <w:r>
        <w:t xml:space="preserve">designa uma licença que é comprada além de (e que está associada a) uma Licença Qualificável (ou conjunto de Licenças Qualificáveis) adquirida anteriormente e é atribuída a um único Utilizador Qualificado (conforme definido na Inscrição do Cliente). Para qualquer SL de Utilizador de Suplementos que não apareça individualmente nos OST, aplicam-se os termos de licenciamento aplicáveis a uma SL de Utilizador completa para o mesmo serviço.  </w:t>
      </w:r>
    </w:p>
    <w:p w:rsidR="00D87CDE" w:rsidRDefault="00AC602F">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D87CDE" w:rsidRDefault="00AC602F">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D87CDE" w:rsidRDefault="00AC602F">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D87CDE" w:rsidRDefault="00AC602F">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D87CDE" w:rsidRDefault="00AC602F">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D87CDE" w:rsidRDefault="00AC602F">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D87CDE" w:rsidRDefault="00AC602F">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D87CDE" w:rsidRDefault="00AC602F">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D87CDE" w:rsidRDefault="00AC602F">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D87CDE" w:rsidRDefault="00AC602F">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D87CDE" w:rsidRDefault="00AC602F">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D87CDE" w:rsidRDefault="00AC602F">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D87CDE" w:rsidRDefault="00AC602F">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D87CDE" w:rsidRDefault="00AC602F">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D87CDE" w:rsidRDefault="00AC602F">
      <w:pPr>
        <w:pStyle w:val="ProductList-BodySpaced"/>
      </w:pPr>
      <w:r>
        <w:rPr>
          <w:b/>
          <w:color w:val="00188F"/>
        </w:rPr>
        <w:t xml:space="preserve">Licença </w:t>
      </w:r>
      <w:r>
        <w:t>designa o direito de transferir, instalar, aceder e utilizar um Produto.</w:t>
      </w:r>
    </w:p>
    <w:p w:rsidR="00D87CDE" w:rsidRDefault="00AC602F">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D87CDE" w:rsidRDefault="00AC602F">
      <w:pPr>
        <w:pStyle w:val="ProductList-BodySpaced"/>
      </w:pPr>
      <w:r>
        <w:rPr>
          <w:b/>
          <w:color w:val="00188F"/>
        </w:rPr>
        <w:t xml:space="preserve">Parceiro de Mobilidade de Licenças através do Software Assurance </w:t>
      </w:r>
      <w:r>
        <w:t xml:space="preserve">designa uma entidade identificada em </w:t>
      </w:r>
      <w:hyperlink r:id="rId130">
        <w:r>
          <w:rPr>
            <w:color w:val="00467F"/>
            <w:u w:val="single"/>
          </w:rPr>
          <w:t>http://www.microsoft.com/licensing/software-assurance/license-mobility.aspx</w:t>
        </w:r>
      </w:hyperlink>
      <w:r>
        <w:t xml:space="preserve"> e autorizada pela Microsoft para alojar software dos clientes em servidores partilhados. </w:t>
      </w:r>
    </w:p>
    <w:p w:rsidR="00D87CDE" w:rsidRDefault="00AC602F">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D87CDE" w:rsidRDefault="00AC602F">
      <w:pPr>
        <w:pStyle w:val="ProductList-BodySpaced"/>
      </w:pPr>
      <w:r>
        <w:rPr>
          <w:b/>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D87CDE" w:rsidRDefault="00AC602F">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D87CDE" w:rsidRDefault="00AC602F">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D87CDE" w:rsidRDefault="00AC602F">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D87CDE" w:rsidRDefault="00AC602F">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D87CDE" w:rsidRDefault="00AC602F">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D87CDE" w:rsidRDefault="00AC602F">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D87CDE" w:rsidRDefault="00AC602F">
      <w:pPr>
        <w:pStyle w:val="ProductList-BodySpaced"/>
      </w:pPr>
      <w:r>
        <w:rPr>
          <w:b/>
          <w:color w:val="00188F"/>
        </w:rPr>
        <w:t xml:space="preserve">Processador Físico </w:t>
      </w:r>
      <w:r>
        <w:t>significa um processador num sistema de hardware físico.</w:t>
      </w:r>
    </w:p>
    <w:p w:rsidR="00D87CDE" w:rsidRDefault="00AC602F">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D87CDE" w:rsidRDefault="00AC602F">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D87CDE" w:rsidRDefault="00AC602F">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D87CDE" w:rsidRDefault="00AC602F">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D87CDE" w:rsidRDefault="00AC602F">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D87CDE" w:rsidRDefault="00AC602F">
      <w:pPr>
        <w:pStyle w:val="ProductList-BodySpaced"/>
      </w:pPr>
      <w:r>
        <w:rPr>
          <w:b/>
          <w:color w:val="00188F"/>
        </w:rPr>
        <w:t>Servidor</w:t>
      </w:r>
      <w:r>
        <w:t xml:space="preserve"> significa um sistema de hardware físico que pode executar o software de servidor.</w:t>
      </w:r>
    </w:p>
    <w:p w:rsidR="00D87CDE" w:rsidRDefault="00AC602F">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D87CDE" w:rsidRDefault="00AC602F">
      <w:pPr>
        <w:pStyle w:val="ProductList-BodySpaced"/>
      </w:pPr>
      <w:r>
        <w:rPr>
          <w:b/>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D87CDE" w:rsidRDefault="00AC602F">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D87CDE" w:rsidRDefault="00AC602F">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D87CDE" w:rsidRDefault="00AC602F">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D87CDE" w:rsidRDefault="00AC602F">
      <w:pPr>
        <w:pStyle w:val="ProductList-BodySpaced"/>
      </w:pPr>
      <w:r>
        <w:t>O software nas Soluções Web da Internet é utilizado para executar:</w:t>
      </w:r>
    </w:p>
    <w:p w:rsidR="00D87CDE" w:rsidRDefault="00AC602F" w:rsidP="00AC602F">
      <w:pPr>
        <w:pStyle w:val="ProductList-Bullet"/>
        <w:numPr>
          <w:ilvl w:val="0"/>
          <w:numId w:val="33"/>
        </w:numPr>
      </w:pPr>
      <w:r>
        <w:t>software do servidor Web (por exemplo, Serviços de Informação Internet da Microsoft) e agentes de gestão ou segurança (por exemplo, o agente System Center Operations Manager);</w:t>
      </w:r>
    </w:p>
    <w:p w:rsidR="00D87CDE" w:rsidRDefault="00AC602F" w:rsidP="00AC602F">
      <w:pPr>
        <w:pStyle w:val="ProductList-Bullet"/>
        <w:numPr>
          <w:ilvl w:val="0"/>
          <w:numId w:val="33"/>
        </w:numPr>
      </w:pPr>
      <w:r>
        <w:t>software do motor de base de dados (por exemplo, Microsoft SQL Server) apenas para suportar as Soluções Web da Internet; ou</w:t>
      </w:r>
    </w:p>
    <w:p w:rsidR="00D87CDE" w:rsidRDefault="00AC602F" w:rsidP="00AC602F">
      <w:pPr>
        <w:pStyle w:val="ProductList-Bullet"/>
        <w:numPr>
          <w:ilvl w:val="0"/>
          <w:numId w:val="33"/>
        </w:numPr>
      </w:pPr>
      <w:r>
        <w:t>o serviço Sistema de Nomes de Domínio (DNS) para fornecer resolução de nomes de Internet aos endereços IP, desde que esta não seja a única função dessa instância do software.</w:t>
      </w:r>
    </w:p>
    <w:p w:rsidR="00D87CDE" w:rsidRDefault="00AC602F">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D87CDE" w:rsidRDefault="00D87CDE">
      <w:pPr>
        <w:pStyle w:val="ProductList-BodySpaced"/>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Spaced"/>
      </w:pPr>
    </w:p>
    <w:p w:rsidR="00D87CDE" w:rsidRDefault="00D87CDE">
      <w:pPr>
        <w:sectPr w:rsidR="00D87CDE">
          <w:headerReference w:type="default" r:id="rId131"/>
          <w:footerReference w:type="default" r:id="rId132"/>
          <w:type w:val="continuous"/>
          <w:pgSz w:w="12240" w:h="15840" w:code="1"/>
          <w:pgMar w:top="1170" w:right="720" w:bottom="720" w:left="720" w:header="432" w:footer="288" w:gutter="0"/>
          <w:cols w:space="360"/>
        </w:sectPr>
      </w:pPr>
    </w:p>
    <w:p w:rsidR="00D87CDE" w:rsidRDefault="00AC602F">
      <w:pPr>
        <w:pStyle w:val="ProductList-SectionHeading"/>
        <w:pageBreakBefore/>
        <w:outlineLvl w:val="0"/>
      </w:pPr>
      <w:bookmarkStart w:id="378" w:name="_Sec591"/>
      <w:bookmarkEnd w:id="368"/>
      <w:r>
        <w:t>Apêndice A – Licenças Equivalentes de CAL/ML</w:t>
      </w:r>
      <w:r>
        <w:fldChar w:fldCharType="begin"/>
      </w:r>
      <w:r>
        <w:instrText xml:space="preserve"> TC "</w:instrText>
      </w:r>
      <w:bookmarkStart w:id="379" w:name="_Toc452110539"/>
      <w:r>
        <w:instrText>Apêndice A – Licenças Equivalentes de CAL/ML</w:instrText>
      </w:r>
      <w:bookmarkEnd w:id="379"/>
      <w:r>
        <w:instrText>" \l 1</w:instrText>
      </w:r>
      <w:r>
        <w:fldChar w:fldCharType="end"/>
      </w:r>
    </w:p>
    <w:p w:rsidR="00D87CDE" w:rsidRDefault="00AC602F">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D87CDE" w:rsidRDefault="00D87CDE">
      <w:pPr>
        <w:pStyle w:val="ProductList-Body"/>
      </w:pPr>
    </w:p>
    <w:tbl>
      <w:tblPr>
        <w:tblStyle w:val="PURTable"/>
        <w:tblW w:w="0" w:type="dxa"/>
        <w:tblLook w:val="04A0" w:firstRow="1" w:lastRow="0" w:firstColumn="1" w:lastColumn="0" w:noHBand="0" w:noVBand="1"/>
      </w:tblPr>
      <w:tblGrid>
        <w:gridCol w:w="1015"/>
        <w:gridCol w:w="474"/>
        <w:gridCol w:w="474"/>
        <w:gridCol w:w="475"/>
        <w:gridCol w:w="475"/>
        <w:gridCol w:w="722"/>
        <w:gridCol w:w="620"/>
        <w:gridCol w:w="624"/>
        <w:gridCol w:w="964"/>
        <w:gridCol w:w="620"/>
        <w:gridCol w:w="722"/>
        <w:gridCol w:w="620"/>
        <w:gridCol w:w="624"/>
        <w:gridCol w:w="964"/>
        <w:gridCol w:w="620"/>
        <w:gridCol w:w="779"/>
      </w:tblGrid>
      <w:tr w:rsidR="00D87CD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87CDE" w:rsidRDefault="00D87CD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D87CDE" w:rsidRDefault="00AC602F">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87CDE" w:rsidRDefault="00AC602F">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87CDE" w:rsidRDefault="00AC602F">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D87CDE" w:rsidRDefault="00AC602F">
            <w:pPr>
              <w:pStyle w:val="ProductList-TableBody"/>
              <w:jc w:val="center"/>
            </w:pPr>
            <w:r>
              <w:rPr>
                <w:color w:val="FFFFFF"/>
              </w:rPr>
              <w:t>Enterprise Mobility</w:t>
            </w:r>
          </w:p>
        </w:tc>
      </w:tr>
      <w:tr w:rsidR="00D87CDE">
        <w:tc>
          <w:tcPr>
            <w:tcW w:w="620" w:type="dxa"/>
            <w:tcBorders>
              <w:top w:val="none" w:sz="4" w:space="0" w:color="BFBFBF"/>
              <w:left w:val="none" w:sz="24" w:space="0" w:color="808080"/>
              <w:bottom w:val="single" w:sz="4" w:space="0" w:color="FFFFFF"/>
              <w:right w:val="single" w:sz="6" w:space="0" w:color="FFFFFF"/>
            </w:tcBorders>
          </w:tcPr>
          <w:p w:rsidR="00D87CDE" w:rsidRDefault="00AC602F">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87CDE" w:rsidRDefault="00AC602F">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87CDE" w:rsidRDefault="00AC602F">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87CDE" w:rsidRDefault="00AC602F">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87CDE" w:rsidRDefault="00AC602F">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87CDE" w:rsidRDefault="00AC602F">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87CDE" w:rsidRDefault="00AC602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87CDE" w:rsidRDefault="00AC602F">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87CDE" w:rsidRDefault="00AC602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87CDE" w:rsidRDefault="00AC602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87CDE" w:rsidRDefault="00AC602F">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87CDE" w:rsidRDefault="00AC602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87CDE" w:rsidRDefault="00AC602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7CDE" w:rsidRDefault="00AC602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87CDE" w:rsidRDefault="00AC602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87CDE" w:rsidRDefault="00AC602F">
            <w:pPr>
              <w:pStyle w:val="ProductList-TableBody"/>
              <w:jc w:val="center"/>
            </w:pPr>
            <w:r>
              <w:rPr>
                <w:color w:val="FFFFFF"/>
              </w:rPr>
              <w:t>Conjunto</w:t>
            </w:r>
          </w:p>
        </w:tc>
      </w:tr>
      <w:tr w:rsidR="00D87CDE">
        <w:tc>
          <w:tcPr>
            <w:tcW w:w="620" w:type="dxa"/>
            <w:gridSpan w:val="16"/>
            <w:tcBorders>
              <w:top w:val="single" w:sz="4" w:space="0" w:color="FFFFFF"/>
              <w:left w:val="single" w:sz="6" w:space="0" w:color="FFFFFF"/>
              <w:bottom w:val="single" w:sz="4" w:space="0" w:color="FFFFFF"/>
              <w:right w:val="single" w:sz="6" w:space="0" w:color="FFFFFF"/>
            </w:tcBorders>
          </w:tcPr>
          <w:p w:rsidR="00D87CDE" w:rsidRDefault="00AC602F">
            <w:pPr>
              <w:pStyle w:val="ProductList-TableBody"/>
            </w:pPr>
            <w:r>
              <w:rPr>
                <w:b/>
              </w:rPr>
              <w:t>Exchange Server 2016 Standard</w:t>
            </w:r>
          </w:p>
        </w:tc>
      </w:tr>
      <w:tr w:rsidR="00D87CDE">
        <w:tc>
          <w:tcPr>
            <w:tcW w:w="620" w:type="dxa"/>
            <w:tcBorders>
              <w:top w:val="dashed" w:sz="4" w:space="0" w:color="BFBFBF"/>
              <w:left w:val="none" w:sz="24" w:space="0" w:color="808080"/>
              <w:bottom w:val="dashed" w:sz="4" w:space="0" w:color="BFBFBF"/>
              <w:right w:val="single" w:sz="6" w:space="0" w:color="FFFFFF"/>
            </w:tcBorders>
          </w:tcPr>
          <w:p w:rsidR="00D87CDE" w:rsidRDefault="0050418C">
            <w:pPr>
              <w:pStyle w:val="ProductList-TableBody"/>
            </w:pPr>
            <w:hyperlink w:anchor="_Sec793">
              <w:r w:rsidR="00AC602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620" w:type="dxa"/>
            <w:tcBorders>
              <w:top w:val="dashed" w:sz="4" w:space="0" w:color="BFBFBF"/>
              <w:left w:val="none" w:sz="24" w:space="0" w:color="808080"/>
              <w:bottom w:val="single" w:sz="4" w:space="0" w:color="FFFFFF"/>
              <w:right w:val="single" w:sz="6" w:space="0" w:color="FFFFFF"/>
            </w:tcBorders>
          </w:tcPr>
          <w:p w:rsidR="00D87CDE" w:rsidRDefault="0050418C">
            <w:pPr>
              <w:pStyle w:val="ProductList-TableBody"/>
            </w:pPr>
            <w:hyperlink w:anchor="_Sec793">
              <w:r w:rsidR="00AC602F">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r>
      <w:tr w:rsidR="00D87CDE">
        <w:tc>
          <w:tcPr>
            <w:tcW w:w="620" w:type="dxa"/>
            <w:gridSpan w:val="16"/>
            <w:tcBorders>
              <w:top w:val="single" w:sz="4" w:space="0" w:color="FFFFFF"/>
              <w:left w:val="single" w:sz="6" w:space="0" w:color="FFFFFF"/>
              <w:bottom w:val="single" w:sz="4" w:space="0" w:color="FFFFFF"/>
              <w:right w:val="single" w:sz="6" w:space="0" w:color="FFFFFF"/>
            </w:tcBorders>
          </w:tcPr>
          <w:p w:rsidR="00D87CDE" w:rsidRDefault="00AC602F">
            <w:pPr>
              <w:pStyle w:val="ProductList-TableBody"/>
            </w:pPr>
            <w:r>
              <w:rPr>
                <w:b/>
              </w:rPr>
              <w:t>Exchange Server 2016 Enterprise</w:t>
            </w:r>
          </w:p>
        </w:tc>
      </w:tr>
      <w:tr w:rsidR="00D87CDE">
        <w:tc>
          <w:tcPr>
            <w:tcW w:w="620" w:type="dxa"/>
            <w:tcBorders>
              <w:top w:val="dashed" w:sz="4" w:space="0" w:color="BFBFBF"/>
              <w:left w:val="none" w:sz="24" w:space="0" w:color="808080"/>
              <w:bottom w:val="dashed" w:sz="4" w:space="0" w:color="BFBFBF"/>
              <w:right w:val="single" w:sz="6" w:space="0" w:color="FFFFFF"/>
            </w:tcBorders>
          </w:tcPr>
          <w:p w:rsidR="00D87CDE" w:rsidRDefault="0050418C">
            <w:pPr>
              <w:pStyle w:val="ProductList-TableBody"/>
            </w:pPr>
            <w:hyperlink w:anchor="_Sec793">
              <w:r w:rsidR="00AC602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620" w:type="dxa"/>
            <w:tcBorders>
              <w:top w:val="dashed" w:sz="4" w:space="0" w:color="BFBFBF"/>
              <w:left w:val="none" w:sz="24" w:space="0" w:color="808080"/>
              <w:bottom w:val="single" w:sz="4" w:space="0" w:color="FFFFFF"/>
              <w:right w:val="single" w:sz="6" w:space="0" w:color="FFFFFF"/>
            </w:tcBorders>
          </w:tcPr>
          <w:p w:rsidR="00D87CDE" w:rsidRDefault="0050418C">
            <w:pPr>
              <w:pStyle w:val="ProductList-TableBody"/>
            </w:pPr>
            <w:hyperlink w:anchor="_Sec793">
              <w:r w:rsidR="00AC602F">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r>
      <w:tr w:rsidR="00D87CDE">
        <w:tc>
          <w:tcPr>
            <w:tcW w:w="620" w:type="dxa"/>
            <w:gridSpan w:val="16"/>
            <w:tcBorders>
              <w:top w:val="single" w:sz="4" w:space="0" w:color="FFFFFF"/>
              <w:left w:val="single" w:sz="6" w:space="0" w:color="FFFFFF"/>
              <w:bottom w:val="single" w:sz="4" w:space="0" w:color="FFFFFF"/>
              <w:right w:val="single" w:sz="6" w:space="0" w:color="FFFFFF"/>
            </w:tcBorders>
          </w:tcPr>
          <w:p w:rsidR="00D87CDE" w:rsidRDefault="00AC602F">
            <w:pPr>
              <w:pStyle w:val="ProductList-TableBody"/>
            </w:pPr>
            <w:r>
              <w:rPr>
                <w:b/>
              </w:rPr>
              <w:t>SharePoint Server 2016</w:t>
            </w:r>
          </w:p>
        </w:tc>
      </w:tr>
      <w:tr w:rsidR="00D87CDE">
        <w:tc>
          <w:tcPr>
            <w:tcW w:w="620" w:type="dxa"/>
            <w:tcBorders>
              <w:top w:val="dashed" w:sz="4" w:space="0" w:color="BFBFBF"/>
              <w:left w:val="none" w:sz="24" w:space="0" w:color="808080"/>
              <w:bottom w:val="dashed" w:sz="4" w:space="0" w:color="BFBFBF"/>
              <w:right w:val="single" w:sz="6" w:space="0" w:color="FFFFFF"/>
            </w:tcBorders>
          </w:tcPr>
          <w:p w:rsidR="00D87CDE" w:rsidRDefault="0050418C">
            <w:pPr>
              <w:pStyle w:val="ProductList-TableBody"/>
            </w:pPr>
            <w:hyperlink w:anchor="_Sec798">
              <w:r w:rsidR="00AC602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620" w:type="dxa"/>
            <w:tcBorders>
              <w:top w:val="dashed" w:sz="4" w:space="0" w:color="BFBFBF"/>
              <w:left w:val="none" w:sz="24" w:space="0" w:color="808080"/>
              <w:bottom w:val="single" w:sz="4" w:space="0" w:color="FFFFFF"/>
              <w:right w:val="single" w:sz="6" w:space="0" w:color="FFFFFF"/>
            </w:tcBorders>
          </w:tcPr>
          <w:p w:rsidR="00D87CDE" w:rsidRDefault="0050418C">
            <w:pPr>
              <w:pStyle w:val="ProductList-TableBody"/>
            </w:pPr>
            <w:hyperlink w:anchor="_Sec798">
              <w:r w:rsidR="00AC602F">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r>
      <w:tr w:rsidR="00D87CDE">
        <w:tc>
          <w:tcPr>
            <w:tcW w:w="620" w:type="dxa"/>
            <w:gridSpan w:val="16"/>
            <w:tcBorders>
              <w:top w:val="single" w:sz="4" w:space="0" w:color="FFFFFF"/>
              <w:left w:val="single" w:sz="6" w:space="0" w:color="FFFFFF"/>
              <w:bottom w:val="single" w:sz="4" w:space="0" w:color="FFFFFF"/>
              <w:right w:val="single" w:sz="6" w:space="0" w:color="FFFFFF"/>
            </w:tcBorders>
          </w:tcPr>
          <w:p w:rsidR="00D87CDE" w:rsidRDefault="00AC602F">
            <w:pPr>
              <w:pStyle w:val="ProductList-TableBody"/>
            </w:pPr>
            <w:r>
              <w:rPr>
                <w:b/>
              </w:rPr>
              <w:t>Microsoft Audit and Control Management Server 2013</w:t>
            </w:r>
          </w:p>
        </w:tc>
      </w:tr>
      <w:tr w:rsidR="00D87CDE">
        <w:tc>
          <w:tcPr>
            <w:tcW w:w="620" w:type="dxa"/>
            <w:tcBorders>
              <w:top w:val="dashed" w:sz="4" w:space="0" w:color="BFBFBF"/>
              <w:left w:val="none" w:sz="24" w:space="0" w:color="808080"/>
              <w:bottom w:val="single" w:sz="4" w:space="0" w:color="FFFFFF"/>
              <w:right w:val="single" w:sz="6" w:space="0" w:color="FFFFFF"/>
            </w:tcBorders>
          </w:tcPr>
          <w:p w:rsidR="00D87CDE" w:rsidRDefault="0050418C">
            <w:pPr>
              <w:pStyle w:val="ProductList-TableBody"/>
            </w:pPr>
            <w:hyperlink w:anchor="_Sec798">
              <w:r w:rsidR="00AC602F">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r>
      <w:tr w:rsidR="00D87CDE">
        <w:tc>
          <w:tcPr>
            <w:tcW w:w="620" w:type="dxa"/>
            <w:gridSpan w:val="16"/>
            <w:tcBorders>
              <w:top w:val="single" w:sz="4" w:space="0" w:color="FFFFFF"/>
              <w:left w:val="single" w:sz="6" w:space="0" w:color="FFFFFF"/>
              <w:bottom w:val="single" w:sz="4" w:space="0" w:color="FFFFFF"/>
              <w:right w:val="single" w:sz="6" w:space="0" w:color="FFFFFF"/>
            </w:tcBorders>
          </w:tcPr>
          <w:p w:rsidR="00D87CDE" w:rsidRDefault="00AC602F">
            <w:pPr>
              <w:pStyle w:val="ProductList-TableBody"/>
            </w:pPr>
            <w:r>
              <w:rPr>
                <w:b/>
              </w:rPr>
              <w:t>Skype para Business Server 2015</w:t>
            </w:r>
          </w:p>
        </w:tc>
      </w:tr>
      <w:tr w:rsidR="00D87CDE">
        <w:tc>
          <w:tcPr>
            <w:tcW w:w="620" w:type="dxa"/>
            <w:tcBorders>
              <w:top w:val="dashed" w:sz="4" w:space="0" w:color="BFBFBF"/>
              <w:left w:val="none" w:sz="24" w:space="0" w:color="808080"/>
              <w:bottom w:val="dashed" w:sz="4" w:space="0" w:color="BFBFBF"/>
              <w:right w:val="single" w:sz="6" w:space="0" w:color="FFFFFF"/>
            </w:tcBorders>
          </w:tcPr>
          <w:p w:rsidR="00D87CDE" w:rsidRDefault="0050418C">
            <w:pPr>
              <w:pStyle w:val="ProductList-TableBody"/>
            </w:pPr>
            <w:hyperlink w:anchor="_Sec799">
              <w:r w:rsidR="00AC602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620" w:type="dxa"/>
            <w:tcBorders>
              <w:top w:val="dashed" w:sz="4" w:space="0" w:color="BFBFBF"/>
              <w:left w:val="none" w:sz="24" w:space="0" w:color="808080"/>
              <w:bottom w:val="dashed" w:sz="4" w:space="0" w:color="BFBFBF"/>
              <w:right w:val="single" w:sz="6" w:space="0" w:color="FFFFFF"/>
            </w:tcBorders>
          </w:tcPr>
          <w:p w:rsidR="00D87CDE" w:rsidRDefault="0050418C">
            <w:pPr>
              <w:pStyle w:val="ProductList-TableBody"/>
            </w:pPr>
            <w:hyperlink w:anchor="_Sec799">
              <w:r w:rsidR="00AC602F">
                <w:rPr>
                  <w:color w:val="00467F"/>
                  <w:u w:val="single"/>
                </w:rPr>
                <w:t>Adicional</w:t>
              </w:r>
            </w:hyperlink>
            <w:r w:rsidR="00AC602F">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r>
      <w:tr w:rsidR="00D87CDE">
        <w:tc>
          <w:tcPr>
            <w:tcW w:w="620" w:type="dxa"/>
            <w:tcBorders>
              <w:top w:val="dashed" w:sz="4" w:space="0" w:color="BFBFBF"/>
              <w:left w:val="none" w:sz="24" w:space="0" w:color="808080"/>
              <w:bottom w:val="single" w:sz="4" w:space="0" w:color="FFFFFF"/>
              <w:right w:val="single" w:sz="6" w:space="0" w:color="FFFFFF"/>
            </w:tcBorders>
          </w:tcPr>
          <w:p w:rsidR="00D87CDE" w:rsidRDefault="0050418C">
            <w:pPr>
              <w:pStyle w:val="ProductList-TableBody"/>
            </w:pPr>
            <w:hyperlink w:anchor="_Sec799">
              <w:r w:rsidR="00AC602F">
                <w:rPr>
                  <w:color w:val="00467F"/>
                  <w:u w:val="single"/>
                </w:rPr>
                <w:t>Adicional</w:t>
              </w:r>
            </w:hyperlink>
            <w:r w:rsidR="00AC602F">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r>
      <w:tr w:rsidR="00D87CDE">
        <w:tc>
          <w:tcPr>
            <w:tcW w:w="620" w:type="dxa"/>
            <w:gridSpan w:val="16"/>
            <w:tcBorders>
              <w:top w:val="single" w:sz="4" w:space="0" w:color="FFFFFF"/>
              <w:left w:val="single" w:sz="6" w:space="0" w:color="FFFFFF"/>
              <w:bottom w:val="single" w:sz="4" w:space="0" w:color="FFFFFF"/>
              <w:right w:val="single" w:sz="6" w:space="0" w:color="FFFFFF"/>
            </w:tcBorders>
          </w:tcPr>
          <w:p w:rsidR="00D87CDE" w:rsidRDefault="00AC602F">
            <w:pPr>
              <w:pStyle w:val="ProductList-TableBody"/>
            </w:pPr>
            <w:r>
              <w:rPr>
                <w:b/>
              </w:rPr>
              <w:t>Windows MultiPoint Server 2012 Standard</w:t>
            </w:r>
          </w:p>
        </w:tc>
      </w:tr>
      <w:tr w:rsidR="00D87CDE">
        <w:tc>
          <w:tcPr>
            <w:tcW w:w="620" w:type="dxa"/>
            <w:tcBorders>
              <w:top w:val="dashed" w:sz="4" w:space="0" w:color="BFBFBF"/>
              <w:left w:val="none" w:sz="24" w:space="0" w:color="808080"/>
              <w:bottom w:val="dashed" w:sz="4" w:space="0" w:color="BFBFBF"/>
              <w:right w:val="single" w:sz="6" w:space="0" w:color="FFFFFF"/>
            </w:tcBorders>
          </w:tcPr>
          <w:p w:rsidR="00D87CDE" w:rsidRDefault="0050418C">
            <w:pPr>
              <w:pStyle w:val="ProductList-TableBody"/>
            </w:pPr>
            <w:hyperlink w:anchor="_Sec800">
              <w:r w:rsidR="00AC602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r>
      <w:tr w:rsidR="00D87CDE">
        <w:tc>
          <w:tcPr>
            <w:tcW w:w="620" w:type="dxa"/>
            <w:tcBorders>
              <w:top w:val="dashed" w:sz="4" w:space="0" w:color="BFBFBF"/>
              <w:left w:val="none" w:sz="24" w:space="0" w:color="808080"/>
              <w:bottom w:val="single" w:sz="4" w:space="0" w:color="FFFFFF"/>
              <w:right w:val="single" w:sz="6" w:space="0" w:color="FFFFFF"/>
            </w:tcBorders>
          </w:tcPr>
          <w:p w:rsidR="00D87CDE" w:rsidRDefault="0050418C">
            <w:pPr>
              <w:pStyle w:val="ProductList-TableBody"/>
            </w:pPr>
            <w:hyperlink w:anchor="_Sec800">
              <w:r w:rsidR="00AC602F">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r>
      <w:tr w:rsidR="00D87CDE">
        <w:tc>
          <w:tcPr>
            <w:tcW w:w="620" w:type="dxa"/>
            <w:gridSpan w:val="16"/>
            <w:tcBorders>
              <w:top w:val="single" w:sz="4" w:space="0" w:color="FFFFFF"/>
              <w:left w:val="single" w:sz="6" w:space="0" w:color="FFFFFF"/>
              <w:bottom w:val="single" w:sz="4" w:space="0" w:color="FFFFFF"/>
              <w:right w:val="single" w:sz="6" w:space="0" w:color="FFFFFF"/>
            </w:tcBorders>
          </w:tcPr>
          <w:p w:rsidR="00D87CDE" w:rsidRDefault="00AC602F">
            <w:pPr>
              <w:pStyle w:val="ProductList-TableBody"/>
            </w:pPr>
            <w:r>
              <w:rPr>
                <w:b/>
              </w:rPr>
              <w:t>Windows MultiPoint Server 2012 Premium</w:t>
            </w:r>
          </w:p>
        </w:tc>
      </w:tr>
      <w:tr w:rsidR="00D87CDE">
        <w:tc>
          <w:tcPr>
            <w:tcW w:w="620" w:type="dxa"/>
            <w:tcBorders>
              <w:top w:val="dashed" w:sz="4" w:space="0" w:color="BFBFBF"/>
              <w:left w:val="none" w:sz="24" w:space="0" w:color="808080"/>
              <w:bottom w:val="dashed" w:sz="4" w:space="0" w:color="BFBFBF"/>
              <w:right w:val="single" w:sz="6" w:space="0" w:color="FFFFFF"/>
            </w:tcBorders>
          </w:tcPr>
          <w:p w:rsidR="00D87CDE" w:rsidRDefault="0050418C">
            <w:pPr>
              <w:pStyle w:val="ProductList-TableBody"/>
            </w:pPr>
            <w:hyperlink w:anchor="_Sec800">
              <w:r w:rsidR="00AC602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r>
      <w:tr w:rsidR="00D87CDE">
        <w:tc>
          <w:tcPr>
            <w:tcW w:w="620" w:type="dxa"/>
            <w:tcBorders>
              <w:top w:val="dashed" w:sz="4" w:space="0" w:color="BFBFBF"/>
              <w:left w:val="none" w:sz="24" w:space="0" w:color="808080"/>
              <w:bottom w:val="single" w:sz="4" w:space="0" w:color="FFFFFF"/>
              <w:right w:val="single" w:sz="6" w:space="0" w:color="FFFFFF"/>
            </w:tcBorders>
          </w:tcPr>
          <w:p w:rsidR="00D87CDE" w:rsidRDefault="0050418C">
            <w:pPr>
              <w:pStyle w:val="ProductList-TableBody"/>
            </w:pPr>
            <w:hyperlink w:anchor="_Sec800">
              <w:r w:rsidR="00AC602F">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r>
      <w:tr w:rsidR="00D87CDE">
        <w:tc>
          <w:tcPr>
            <w:tcW w:w="620" w:type="dxa"/>
            <w:gridSpan w:val="16"/>
            <w:tcBorders>
              <w:top w:val="single" w:sz="4" w:space="0" w:color="FFFFFF"/>
              <w:left w:val="single" w:sz="6" w:space="0" w:color="FFFFFF"/>
              <w:bottom w:val="single" w:sz="4" w:space="0" w:color="FFFFFF"/>
              <w:right w:val="single" w:sz="6" w:space="0" w:color="FFFFFF"/>
            </w:tcBorders>
          </w:tcPr>
          <w:p w:rsidR="00D87CDE" w:rsidRDefault="00AC602F">
            <w:pPr>
              <w:pStyle w:val="ProductList-TableBody"/>
            </w:pPr>
            <w:r>
              <w:rPr>
                <w:b/>
              </w:rPr>
              <w:t>Windows Server 2012 R2 Standard</w:t>
            </w:r>
          </w:p>
        </w:tc>
      </w:tr>
      <w:tr w:rsidR="00D87CDE">
        <w:tc>
          <w:tcPr>
            <w:tcW w:w="620" w:type="dxa"/>
            <w:tcBorders>
              <w:top w:val="dashed" w:sz="4" w:space="0" w:color="BFBFBF"/>
              <w:left w:val="none" w:sz="24" w:space="0" w:color="808080"/>
              <w:bottom w:val="dashed" w:sz="4" w:space="0" w:color="BFBFBF"/>
              <w:right w:val="single" w:sz="6" w:space="0" w:color="FFFFFF"/>
            </w:tcBorders>
          </w:tcPr>
          <w:p w:rsidR="00D87CDE" w:rsidRDefault="0050418C">
            <w:pPr>
              <w:pStyle w:val="ProductList-TableBody"/>
            </w:pPr>
            <w:hyperlink w:anchor="_Sec807">
              <w:r w:rsidR="00AC602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r>
      <w:tr w:rsidR="00D87CDE">
        <w:tc>
          <w:tcPr>
            <w:tcW w:w="620" w:type="dxa"/>
            <w:tcBorders>
              <w:top w:val="dashed" w:sz="4" w:space="0" w:color="BFBFBF"/>
              <w:left w:val="none" w:sz="24" w:space="0" w:color="808080"/>
              <w:bottom w:val="dashed" w:sz="4" w:space="0" w:color="BFBFBF"/>
              <w:right w:val="single" w:sz="6" w:space="0" w:color="FFFFFF"/>
            </w:tcBorders>
          </w:tcPr>
          <w:p w:rsidR="00D87CDE" w:rsidRDefault="0050418C">
            <w:pPr>
              <w:pStyle w:val="ProductList-TableBody"/>
            </w:pPr>
            <w:hyperlink w:anchor="_Sec807">
              <w:r w:rsidR="00AC602F">
                <w:rPr>
                  <w:color w:val="00467F"/>
                  <w:u w:val="single"/>
                </w:rPr>
                <w:t>Adicional</w:t>
              </w:r>
            </w:hyperlink>
            <w:r w:rsidR="00AC602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r>
      <w:tr w:rsidR="00D87CDE">
        <w:tc>
          <w:tcPr>
            <w:tcW w:w="620" w:type="dxa"/>
            <w:tcBorders>
              <w:top w:val="dashed" w:sz="4" w:space="0" w:color="BFBFBF"/>
              <w:left w:val="none" w:sz="24" w:space="0" w:color="808080"/>
              <w:bottom w:val="single" w:sz="4" w:space="0" w:color="FFFFFF"/>
              <w:right w:val="single" w:sz="6" w:space="0" w:color="FFFFFF"/>
            </w:tcBorders>
          </w:tcPr>
          <w:p w:rsidR="00D87CDE" w:rsidRDefault="0050418C">
            <w:pPr>
              <w:pStyle w:val="ProductList-TableBody"/>
            </w:pPr>
            <w:hyperlink w:anchor="_Sec807">
              <w:r w:rsidR="00AC602F">
                <w:rPr>
                  <w:color w:val="00467F"/>
                  <w:u w:val="single"/>
                </w:rPr>
                <w:t>Adicional</w:t>
              </w:r>
            </w:hyperlink>
            <w:r w:rsidR="00AC602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r>
      <w:tr w:rsidR="00D87CDE">
        <w:tc>
          <w:tcPr>
            <w:tcW w:w="620" w:type="dxa"/>
            <w:gridSpan w:val="16"/>
            <w:tcBorders>
              <w:top w:val="single" w:sz="4" w:space="0" w:color="FFFFFF"/>
              <w:left w:val="single" w:sz="6" w:space="0" w:color="FFFFFF"/>
              <w:bottom w:val="single" w:sz="4" w:space="0" w:color="FFFFFF"/>
              <w:right w:val="single" w:sz="6" w:space="0" w:color="FFFFFF"/>
            </w:tcBorders>
          </w:tcPr>
          <w:p w:rsidR="00D87CDE" w:rsidRDefault="00AC602F">
            <w:pPr>
              <w:pStyle w:val="ProductList-TableBody"/>
            </w:pPr>
            <w:r>
              <w:rPr>
                <w:b/>
              </w:rPr>
              <w:t>Windows Server 2012 R2 Data Center</w:t>
            </w:r>
          </w:p>
        </w:tc>
      </w:tr>
      <w:tr w:rsidR="00D87CDE">
        <w:tc>
          <w:tcPr>
            <w:tcW w:w="620" w:type="dxa"/>
            <w:tcBorders>
              <w:top w:val="dashed" w:sz="4" w:space="0" w:color="BFBFBF"/>
              <w:left w:val="none" w:sz="24" w:space="0" w:color="808080"/>
              <w:bottom w:val="dashed" w:sz="4" w:space="0" w:color="BFBFBF"/>
              <w:right w:val="single" w:sz="6" w:space="0" w:color="FFFFFF"/>
            </w:tcBorders>
          </w:tcPr>
          <w:p w:rsidR="00D87CDE" w:rsidRDefault="0050418C">
            <w:pPr>
              <w:pStyle w:val="ProductList-TableBody"/>
            </w:pPr>
            <w:hyperlink w:anchor="_Sec807">
              <w:r w:rsidR="00AC602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r>
      <w:tr w:rsidR="00D87CDE">
        <w:tc>
          <w:tcPr>
            <w:tcW w:w="620" w:type="dxa"/>
            <w:tcBorders>
              <w:top w:val="dashed" w:sz="4" w:space="0" w:color="BFBFBF"/>
              <w:left w:val="none" w:sz="24" w:space="0" w:color="808080"/>
              <w:bottom w:val="dashed" w:sz="4" w:space="0" w:color="BFBFBF"/>
              <w:right w:val="single" w:sz="6" w:space="0" w:color="FFFFFF"/>
            </w:tcBorders>
          </w:tcPr>
          <w:p w:rsidR="00D87CDE" w:rsidRDefault="0050418C">
            <w:pPr>
              <w:pStyle w:val="ProductList-TableBody"/>
            </w:pPr>
            <w:hyperlink w:anchor="_Sec807">
              <w:r w:rsidR="00AC602F">
                <w:rPr>
                  <w:color w:val="00467F"/>
                  <w:u w:val="single"/>
                </w:rPr>
                <w:t>Adicional</w:t>
              </w:r>
            </w:hyperlink>
            <w:r w:rsidR="00AC602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r>
      <w:tr w:rsidR="00D87CDE">
        <w:tc>
          <w:tcPr>
            <w:tcW w:w="620" w:type="dxa"/>
            <w:tcBorders>
              <w:top w:val="dashed" w:sz="4" w:space="0" w:color="BFBFBF"/>
              <w:left w:val="none" w:sz="24" w:space="0" w:color="808080"/>
              <w:bottom w:val="single" w:sz="4" w:space="0" w:color="FFFFFF"/>
              <w:right w:val="single" w:sz="6" w:space="0" w:color="FFFFFF"/>
            </w:tcBorders>
          </w:tcPr>
          <w:p w:rsidR="00D87CDE" w:rsidRDefault="0050418C">
            <w:pPr>
              <w:pStyle w:val="ProductList-TableBody"/>
            </w:pPr>
            <w:hyperlink w:anchor="_Sec807">
              <w:r w:rsidR="00AC602F">
                <w:rPr>
                  <w:color w:val="00467F"/>
                  <w:u w:val="single"/>
                </w:rPr>
                <w:t>Adicional</w:t>
              </w:r>
            </w:hyperlink>
            <w:r w:rsidR="00AC602F">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r>
      <w:tr w:rsidR="00D87CDE">
        <w:tc>
          <w:tcPr>
            <w:tcW w:w="620" w:type="dxa"/>
            <w:gridSpan w:val="16"/>
            <w:tcBorders>
              <w:top w:val="single" w:sz="4" w:space="0" w:color="FFFFFF"/>
              <w:left w:val="single" w:sz="6" w:space="0" w:color="FFFFFF"/>
              <w:bottom w:val="single" w:sz="4" w:space="0" w:color="FFFFFF"/>
              <w:right w:val="single" w:sz="6" w:space="0" w:color="FFFFFF"/>
            </w:tcBorders>
          </w:tcPr>
          <w:p w:rsidR="00D87CDE" w:rsidRDefault="00AC602F">
            <w:pPr>
              <w:pStyle w:val="ProductList-TableBody"/>
            </w:pPr>
            <w:r>
              <w:rPr>
                <w:b/>
              </w:rPr>
              <w:t>Advanced Threat Analytics 2016</w:t>
            </w:r>
          </w:p>
        </w:tc>
      </w:tr>
      <w:tr w:rsidR="00D87CDE">
        <w:tc>
          <w:tcPr>
            <w:tcW w:w="620" w:type="dxa"/>
            <w:tcBorders>
              <w:top w:val="dashed" w:sz="4" w:space="0" w:color="BFBFBF"/>
              <w:left w:val="none" w:sz="24" w:space="0" w:color="808080"/>
              <w:bottom w:val="single" w:sz="4" w:space="0" w:color="FFFFFF"/>
              <w:right w:val="single" w:sz="6" w:space="0" w:color="FFFFFF"/>
            </w:tcBorders>
          </w:tcPr>
          <w:p w:rsidR="00D87CDE" w:rsidRDefault="0050418C">
            <w:pPr>
              <w:pStyle w:val="ProductList-TableBody"/>
            </w:pPr>
            <w:hyperlink w:anchor="_Sec801">
              <w:r w:rsidR="00AC602F">
                <w:rPr>
                  <w:color w:val="00467F"/>
                  <w:u w:val="single"/>
                </w:rPr>
                <w:t>Gestão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87CDE" w:rsidRDefault="00D87CDE">
            <w:pPr>
              <w:pStyle w:val="ProductList-TableBody"/>
              <w:jc w:val="center"/>
            </w:pPr>
          </w:p>
        </w:tc>
      </w:tr>
      <w:tr w:rsidR="00D87CDE">
        <w:tc>
          <w:tcPr>
            <w:tcW w:w="620" w:type="dxa"/>
            <w:gridSpan w:val="16"/>
            <w:tcBorders>
              <w:top w:val="single" w:sz="4" w:space="0" w:color="FFFFFF"/>
              <w:left w:val="single" w:sz="6" w:space="0" w:color="FFFFFF"/>
              <w:bottom w:val="single" w:sz="4" w:space="0" w:color="FFFFFF"/>
              <w:right w:val="single" w:sz="6" w:space="0" w:color="FFFFFF"/>
            </w:tcBorders>
          </w:tcPr>
          <w:p w:rsidR="00D87CDE" w:rsidRDefault="00AC602F">
            <w:pPr>
              <w:pStyle w:val="ProductList-TableBody"/>
            </w:pPr>
            <w:r>
              <w:rPr>
                <w:b/>
              </w:rPr>
              <w:t>System Center 2012 R2 Configuration Manager</w:t>
            </w:r>
          </w:p>
        </w:tc>
      </w:tr>
      <w:tr w:rsidR="00D87CDE">
        <w:tc>
          <w:tcPr>
            <w:tcW w:w="620" w:type="dxa"/>
            <w:tcBorders>
              <w:top w:val="dashed" w:sz="4" w:space="0" w:color="BFBFBF"/>
              <w:left w:val="none" w:sz="24" w:space="0" w:color="808080"/>
              <w:bottom w:val="none" w:sz="4" w:space="0" w:color="6E6E6E"/>
              <w:right w:val="single" w:sz="6" w:space="0" w:color="FFFFFF"/>
            </w:tcBorders>
          </w:tcPr>
          <w:p w:rsidR="00D87CDE" w:rsidRDefault="0050418C">
            <w:pPr>
              <w:pStyle w:val="ProductList-TableBody"/>
            </w:pPr>
            <w:hyperlink w:anchor="_Sec802">
              <w:r w:rsidR="00AC602F">
                <w:rPr>
                  <w:color w:val="00467F"/>
                  <w:u w:val="single"/>
                </w:rPr>
                <w:t>Gestão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87CDE" w:rsidRDefault="00D87C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87CDE" w:rsidRDefault="00D87CDE">
            <w:pPr>
              <w:pStyle w:val="ProductList-TableBody"/>
              <w:jc w:val="center"/>
            </w:pPr>
          </w:p>
        </w:tc>
      </w:tr>
    </w:tbl>
    <w:p w:rsidR="00D87CDE" w:rsidRDefault="00AC602F">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2012 R2 Endpoint Protection. Uma licença para Enterprise CAL Suite com cobertura SA ativa fornece direitos equivalentes a Prevenção de Perda de Dados e Proteção do Exchange Online.</w:t>
      </w:r>
    </w:p>
    <w:p w:rsidR="00D87CDE" w:rsidRDefault="00AC602F">
      <w:pPr>
        <w:pStyle w:val="ProductList-SectionHeading"/>
        <w:pageBreakBefore/>
        <w:outlineLvl w:val="0"/>
      </w:pPr>
      <w:bookmarkStart w:id="380" w:name="_Sec564"/>
      <w:bookmarkEnd w:id="378"/>
      <w:r>
        <w:t>Apêndice B – Software Assurance</w:t>
      </w:r>
      <w:r>
        <w:fldChar w:fldCharType="begin"/>
      </w:r>
      <w:r>
        <w:instrText xml:space="preserve"> TC "</w:instrText>
      </w:r>
      <w:bookmarkStart w:id="381" w:name="_Toc452110540"/>
      <w:r>
        <w:instrText>Apêndice B – Software Assurance</w:instrText>
      </w:r>
      <w:bookmarkEnd w:id="381"/>
      <w:r>
        <w:instrText>" \l 1</w:instrText>
      </w:r>
      <w:r>
        <w:fldChar w:fldCharType="end"/>
      </w:r>
    </w:p>
    <w:p w:rsidR="00D87CDE" w:rsidRDefault="00AC602F">
      <w:pPr>
        <w:pStyle w:val="ProductList-Offering1Heading"/>
        <w:outlineLvl w:val="1"/>
      </w:pPr>
      <w:bookmarkStart w:id="382" w:name="_Sec573"/>
      <w:r>
        <w:t>Adquirir Software Assurance</w:t>
      </w:r>
      <w:bookmarkEnd w:id="382"/>
      <w:r>
        <w:fldChar w:fldCharType="begin"/>
      </w:r>
      <w:r>
        <w:instrText xml:space="preserve"> TC "</w:instrText>
      </w:r>
      <w:bookmarkStart w:id="383" w:name="_Toc452110541"/>
      <w:r>
        <w:instrText>Adquirir Software Assurance</w:instrText>
      </w:r>
      <w:bookmarkEnd w:id="383"/>
      <w:r>
        <w:instrText>" \l 2</w:instrText>
      </w:r>
      <w:r>
        <w:fldChar w:fldCharType="end"/>
      </w:r>
    </w:p>
    <w:p w:rsidR="00D87CDE" w:rsidRDefault="00AC602F">
      <w:pPr>
        <w:pStyle w:val="ProductList-Body"/>
      </w:pPr>
      <w:r>
        <w:t xml:space="preserve">Existem três níveis diferentes de compromisso que o Cliente poderá selecionar quando adquirir SA, que pode variar consoante o programa. O Cliente pode: </w:t>
      </w:r>
    </w:p>
    <w:p w:rsidR="00D87CDE" w:rsidRDefault="00AC602F" w:rsidP="00AC602F">
      <w:pPr>
        <w:pStyle w:val="ProductList-Bullet"/>
        <w:numPr>
          <w:ilvl w:val="0"/>
          <w:numId w:val="34"/>
        </w:numPr>
      </w:pPr>
      <w:r>
        <w:t xml:space="preserve">Comprometer-se em atribuir cobertura SA a todos os produtos de plataforma. </w:t>
      </w:r>
    </w:p>
    <w:p w:rsidR="00D87CDE" w:rsidRDefault="00AC602F" w:rsidP="00AC602F">
      <w:pPr>
        <w:pStyle w:val="ProductList-Bullet"/>
        <w:numPr>
          <w:ilvl w:val="0"/>
          <w:numId w:val="34"/>
        </w:numPr>
      </w:pPr>
      <w:r>
        <w:t xml:space="preserve">Comprometer-se em atribuir cobertura SA a todas as aquisições no âmbito de uma determinada família de produtos (Aplicações, Sistemas ou Servidores), referida como Filiação no Software Assurance (SAM). </w:t>
      </w:r>
    </w:p>
    <w:p w:rsidR="00D87CDE" w:rsidRDefault="00AC602F" w:rsidP="00AC602F">
      <w:pPr>
        <w:pStyle w:val="ProductList-Bullet"/>
        <w:numPr>
          <w:ilvl w:val="0"/>
          <w:numId w:val="34"/>
        </w:numPr>
      </w:pPr>
      <w:r>
        <w:t>Adquira cobertura SA em produtos individuais sem se comprometer em expandir a cobertura SA por outros Produtos.</w:t>
      </w:r>
    </w:p>
    <w:p w:rsidR="00D87CDE" w:rsidRDefault="00D87CDE">
      <w:pPr>
        <w:pStyle w:val="ProductList-Body"/>
      </w:pPr>
    </w:p>
    <w:p w:rsidR="00D87CDE" w:rsidRDefault="00AC602F">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D87CDE" w:rsidRDefault="00D87CDE">
      <w:pPr>
        <w:pStyle w:val="ProductList-Body"/>
      </w:pPr>
    </w:p>
    <w:p w:rsidR="00D87CDE" w:rsidRDefault="00AC602F">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1638"/>
        <w:gridCol w:w="1535"/>
        <w:gridCol w:w="1506"/>
        <w:gridCol w:w="6111"/>
      </w:tblGrid>
      <w:tr w:rsidR="00D87CD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Programas</w:t>
            </w:r>
          </w:p>
        </w:tc>
      </w:tr>
      <w:tr w:rsidR="00D87CDE">
        <w:tc>
          <w:tcPr>
            <w:tcW w:w="24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Aplica-se a Open License, Select, Select Plus e Não Inclusão de Toda a Organização ao abrigo de Open Value e a Produtos Adicionais ao abrigo de Contratos Enterprise. Não se aplica a Produtos Enterprise ao abrigo de Open Value e Contratos Enterprise. Para o Contrato de Produtos e Serviços da Microsoft (MPSA), consulte o Manual de Licenciamento do MPSA em </w:t>
            </w:r>
            <w:hyperlink r:id="rId133">
              <w:r>
                <w:rPr>
                  <w:color w:val="00467F"/>
                  <w:u w:val="single"/>
                </w:rPr>
                <w:t>http://microsoftvolumelicensing.com/DocumentSearch.aspx?Mode=3&amp;DocumentTypeId=44</w:t>
              </w:r>
            </w:hyperlink>
            <w:r>
              <w:t>.</w:t>
            </w:r>
          </w:p>
        </w:tc>
      </w:tr>
      <w:tr w:rsidR="00D87CDE">
        <w:tc>
          <w:tcPr>
            <w:tcW w:w="24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SA disponível</w:t>
            </w:r>
          </w:p>
        </w:tc>
        <w:tc>
          <w:tcPr>
            <w:tcW w:w="0" w:type="auto"/>
            <w:vMerge/>
          </w:tcPr>
          <w:p w:rsidR="00D87CDE" w:rsidRDefault="00D87CDE"/>
        </w:tc>
      </w:tr>
    </w:tbl>
    <w:p w:rsidR="00D87CDE" w:rsidRDefault="00D87CDE">
      <w:pPr>
        <w:pStyle w:val="ProductList-Body"/>
      </w:pPr>
    </w:p>
    <w:p w:rsidR="00D87CDE" w:rsidRDefault="00AC602F">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D87CDE" w:rsidRDefault="00D87CDE">
      <w:pPr>
        <w:pStyle w:val="ProductList-Body"/>
      </w:pPr>
    </w:p>
    <w:p w:rsidR="00D87CDE" w:rsidRDefault="00AC602F">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D87CDE" w:rsidRDefault="00D87CDE">
      <w:pPr>
        <w:pStyle w:val="ProductList-Body"/>
      </w:pPr>
    </w:p>
    <w:p w:rsidR="00D87CDE" w:rsidRDefault="00AC602F">
      <w:pPr>
        <w:pStyle w:val="ProductList-Body"/>
      </w:pPr>
      <w:r>
        <w:t>Os clientes que façam aquisições através do Contrato de Produtos e Serviços da Microsoft (MPSA) têm de consultar o Manual de Licenciamento do MPSA para obter detalhes relacionados com a aquisição de cobertura SA através do MPSA e uma descrição dos Benefícios de SA ao abrigo do programa do MPSA.</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1Heading"/>
        <w:outlineLvl w:val="1"/>
      </w:pPr>
      <w:bookmarkStart w:id="384" w:name="_Sec574"/>
      <w:r>
        <w:t>Renovar o Software Assurance</w:t>
      </w:r>
      <w:bookmarkEnd w:id="384"/>
      <w:r>
        <w:fldChar w:fldCharType="begin"/>
      </w:r>
      <w:r>
        <w:instrText xml:space="preserve"> TC "</w:instrText>
      </w:r>
      <w:bookmarkStart w:id="385" w:name="_Toc452110542"/>
      <w:r>
        <w:instrText>Renovar o Software Assurance</w:instrText>
      </w:r>
      <w:bookmarkEnd w:id="385"/>
      <w:r>
        <w:instrText>" \l 2</w:instrText>
      </w:r>
      <w:r>
        <w:fldChar w:fldCharType="end"/>
      </w:r>
    </w:p>
    <w:p w:rsidR="00D87CDE" w:rsidRDefault="00AC602F">
      <w:pPr>
        <w:pStyle w:val="ProductList-ClauseHeading"/>
        <w:outlineLvl w:val="2"/>
      </w:pPr>
      <w:r>
        <w:t>Renovar a Cobertura ao abrigo do Mesmo Contrato</w:t>
      </w:r>
    </w:p>
    <w:p w:rsidR="00D87CDE" w:rsidRDefault="00AC602F">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D87CDE" w:rsidRDefault="00D87CDE">
      <w:pPr>
        <w:pStyle w:val="ProductList-Body"/>
      </w:pPr>
    </w:p>
    <w:p w:rsidR="00D87CDE" w:rsidRDefault="00AC602F">
      <w:pPr>
        <w:pStyle w:val="ProductList-SubClauseHeading"/>
        <w:outlineLvl w:val="3"/>
      </w:pPr>
      <w:r>
        <w:t>Open License</w:t>
      </w:r>
    </w:p>
    <w:p w:rsidR="00D87CDE" w:rsidRDefault="00AC602F">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D87CDE" w:rsidRDefault="00D87CDE">
      <w:pPr>
        <w:pStyle w:val="ProductList-BodyIndented"/>
      </w:pPr>
    </w:p>
    <w:p w:rsidR="00D87CDE" w:rsidRDefault="00AC602F">
      <w:pPr>
        <w:pStyle w:val="ProductList-SubClauseHeading"/>
        <w:outlineLvl w:val="3"/>
      </w:pPr>
      <w:r>
        <w:t>Contrato Enterprise</w:t>
      </w:r>
    </w:p>
    <w:p w:rsidR="00D87CDE" w:rsidRDefault="00AC602F">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D87CDE" w:rsidRDefault="00D87CDE">
      <w:pPr>
        <w:pStyle w:val="ProductList-BodyIndented"/>
      </w:pPr>
    </w:p>
    <w:p w:rsidR="00D87CDE" w:rsidRDefault="00AC602F">
      <w:pPr>
        <w:pStyle w:val="ProductList-SubClauseHeading"/>
        <w:outlineLvl w:val="3"/>
      </w:pPr>
      <w:r>
        <w:t>Enrollment for Application Platform</w:t>
      </w:r>
    </w:p>
    <w:p w:rsidR="00D87CDE" w:rsidRDefault="00AC602F">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D87CDE" w:rsidRDefault="00D87CDE">
      <w:pPr>
        <w:pStyle w:val="ProductList-BodyIndented"/>
      </w:pPr>
    </w:p>
    <w:p w:rsidR="00D87CDE" w:rsidRDefault="00AC602F">
      <w:pPr>
        <w:pStyle w:val="ProductList-ClauseHeading"/>
        <w:outlineLvl w:val="2"/>
      </w:pPr>
      <w:r>
        <w:t>Renovar a Cobertura de um Contrato em Separado</w:t>
      </w:r>
    </w:p>
    <w:p w:rsidR="00D87CDE" w:rsidRDefault="00AC602F">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D87CDE" w:rsidRDefault="00D87CDE">
      <w:pPr>
        <w:pStyle w:val="ProductList-Body"/>
      </w:pPr>
    </w:p>
    <w:p w:rsidR="00D87CDE" w:rsidRDefault="00AC602F">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D87CDE" w:rsidRDefault="00D87CDE">
      <w:pPr>
        <w:pStyle w:val="ProductList-Body"/>
      </w:pPr>
    </w:p>
    <w:p w:rsidR="00D87CDE" w:rsidRDefault="00AC602F">
      <w:pPr>
        <w:pStyle w:val="ProductList-ClauseHeading"/>
        <w:outlineLvl w:val="2"/>
      </w:pPr>
      <w:r>
        <w:t>Renovar a Cobertura Software Assurance para Licenças de Acesso de Cliente (CALs) e Licenças de Gestão de Cliente (MLs)</w:t>
      </w:r>
    </w:p>
    <w:p w:rsidR="00D87CDE" w:rsidRDefault="00AC602F">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D87CDE" w:rsidRDefault="00AC602F">
      <w:pPr>
        <w:pStyle w:val="ProductList-Body"/>
      </w:pPr>
      <w:r>
        <w:rPr>
          <w:b/>
          <w:color w:val="00188F"/>
        </w:rPr>
        <w:t>Transição entre MLs de Cliente de Utilizador e de OSE</w:t>
      </w:r>
      <w:r>
        <w:t>: Os clientes que estão a renovar a cobertura SA para MLs de Cliente podem mudar entre Utilizador e OSE.</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1Heading"/>
        <w:outlineLvl w:val="1"/>
      </w:pPr>
      <w:bookmarkStart w:id="386" w:name="_Sec575"/>
      <w:r>
        <w:t>Licença de Migração para Produtos Descontinuados ou em Fim de Vida Útil</w:t>
      </w:r>
      <w:bookmarkEnd w:id="386"/>
      <w:r>
        <w:fldChar w:fldCharType="begin"/>
      </w:r>
      <w:r>
        <w:instrText xml:space="preserve"> TC "</w:instrText>
      </w:r>
      <w:bookmarkStart w:id="387" w:name="_Toc452110543"/>
      <w:r>
        <w:instrText>Licença de Migração para Produtos Descontinuados ou em Fim de Vida Útil</w:instrText>
      </w:r>
      <w:bookmarkEnd w:id="387"/>
      <w:r>
        <w:instrText>" \l 2</w:instrText>
      </w:r>
      <w:r>
        <w:fldChar w:fldCharType="end"/>
      </w:r>
    </w:p>
    <w:p w:rsidR="00D87CDE" w:rsidRDefault="00AC602F">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D87CDE" w:rsidRDefault="00AC602F">
      <w:pPr>
        <w:pStyle w:val="ProductList-Body"/>
      </w:pPr>
      <w:r>
        <w:t>“</w:t>
      </w:r>
      <w:r>
        <w:rPr>
          <w:b/>
          <w:color w:val="00188F"/>
        </w:rPr>
        <w:t>Licença de Migração</w:t>
      </w:r>
      <w:r>
        <w:t>”, tal como utilizado neste documento, refere-se a direitos concedidos na Entrada de Produto que refere esta secção.</w:t>
      </w:r>
    </w:p>
    <w:p w:rsidR="00D87CDE" w:rsidRDefault="00D87CDE">
      <w:pPr>
        <w:pStyle w:val="ProductList-Body"/>
      </w:pPr>
    </w:p>
    <w:p w:rsidR="00D87CDE" w:rsidRDefault="00AC602F">
      <w:pPr>
        <w:pStyle w:val="ProductList-Body"/>
      </w:pPr>
      <w:r>
        <w:t>A menos que seja estabelecido de outra forma na Entrada de Produto:</w:t>
      </w:r>
    </w:p>
    <w:p w:rsidR="00D87CDE" w:rsidRDefault="00AC602F" w:rsidP="00AC602F">
      <w:pPr>
        <w:pStyle w:val="ProductList-Bullet"/>
        <w:numPr>
          <w:ilvl w:val="0"/>
          <w:numId w:val="35"/>
        </w:numPr>
      </w:pPr>
      <w:r>
        <w:t>O Cliente poderá atualizar e utilizar o software ao abrigo de uma Licença de Migração em vez do software abrangido pela Licença Qualificável. O Cliente não poderá utilizar o software ao abrigo de ambas as licenças em simultâneo.</w:t>
      </w:r>
    </w:p>
    <w:p w:rsidR="00D87CDE" w:rsidRDefault="00AC602F" w:rsidP="00AC602F">
      <w:pPr>
        <w:pStyle w:val="ProductList-Bullet"/>
        <w:numPr>
          <w:ilvl w:val="0"/>
          <w:numId w:val="35"/>
        </w:numPr>
      </w:pPr>
      <w:r>
        <w:t>As Licenças de Migração são concedidas individualmente para cada uma das Licenças Qualificáveis do Cliente.</w:t>
      </w:r>
    </w:p>
    <w:p w:rsidR="00D87CDE" w:rsidRDefault="00AC602F" w:rsidP="00AC602F">
      <w:pPr>
        <w:pStyle w:val="ProductList-Bullet"/>
        <w:numPr>
          <w:ilvl w:val="0"/>
          <w:numId w:val="35"/>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D87CDE" w:rsidRDefault="00AC602F" w:rsidP="00AC602F">
      <w:pPr>
        <w:pStyle w:val="ProductList-Bullet"/>
        <w:numPr>
          <w:ilvl w:val="0"/>
          <w:numId w:val="35"/>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D87CDE" w:rsidRDefault="00AC602F" w:rsidP="00AC602F">
      <w:pPr>
        <w:pStyle w:val="ProductList-Bullet"/>
        <w:numPr>
          <w:ilvl w:val="0"/>
          <w:numId w:val="35"/>
        </w:numPr>
      </w:pPr>
      <w:r>
        <w:t>O Cliente não poderá transferir Licenças de Migração em separado das Licenças Qualificáveis.</w:t>
      </w:r>
    </w:p>
    <w:p w:rsidR="00D87CDE" w:rsidRDefault="00AC602F" w:rsidP="00AC602F">
      <w:pPr>
        <w:pStyle w:val="ProductList-Bullet"/>
        <w:numPr>
          <w:ilvl w:val="0"/>
          <w:numId w:val="35"/>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1Heading"/>
        <w:outlineLvl w:val="1"/>
      </w:pPr>
      <w:bookmarkStart w:id="388" w:name="_Sec576"/>
      <w:r>
        <w:t>Benefícios de Software Assurance</w:t>
      </w:r>
      <w:bookmarkEnd w:id="388"/>
      <w:r>
        <w:fldChar w:fldCharType="begin"/>
      </w:r>
      <w:r>
        <w:instrText xml:space="preserve"> TC "</w:instrText>
      </w:r>
      <w:bookmarkStart w:id="389" w:name="_Toc452110544"/>
      <w:r>
        <w:instrText>Benefícios de Software Assurance</w:instrText>
      </w:r>
      <w:bookmarkEnd w:id="389"/>
      <w:r>
        <w:instrText>" \l 2</w:instrText>
      </w:r>
      <w:r>
        <w:fldChar w:fldCharType="end"/>
      </w:r>
    </w:p>
    <w:p w:rsidR="00D87CDE" w:rsidRDefault="00AC602F">
      <w:pPr>
        <w:pStyle w:val="ProductList-Body"/>
      </w:pPr>
      <w:r>
        <w:t>A maior parte dos Benefícios de SA estão disponíveis em cada Família de Produtos, conforme descrito na tabela abaixo. A cobertura SA ativa para qualquer Produto qualifica o Cliente para os benefícios mostrados na tabela abaixo. Com a exceção dos Direitos de Nova Versão, os benefícios disponíveis para Produtos de Servidor exigem cobertura para Licenças de Servidor e Licenças de acesso, se existentes (por exemplo, CALs). Os Direitos de Nova Versão para Licenças de Servidor ou Licenças de acesso são fornecidos em separado ao abrigo da cobertura dessas licenças.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Outros benefícios correspondem à Filiação no SA; a Filiação no SA para a família de Produtos aplicável qualifica o Cliente para esses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p w:rsidR="00D87CDE" w:rsidRDefault="00AC602F">
      <w:pPr>
        <w:pStyle w:val="ProductList-Body"/>
      </w:pPr>
      <w:r>
        <w:t xml:space="preserve">Os clientes que façam aquisições através do Contrato de Produtos e Serviços da Microsoft (MPSA) têm de consultar o Manual de Licenciamento do MPSA para obter detalhes relacionados com aquisições de cobertura SA através do MPSA. </w:t>
      </w:r>
    </w:p>
    <w:tbl>
      <w:tblPr>
        <w:tblStyle w:val="PURTable"/>
        <w:tblW w:w="0" w:type="dxa"/>
        <w:tblLook w:val="04A0" w:firstRow="1" w:lastRow="0" w:firstColumn="1" w:lastColumn="0" w:noHBand="0" w:noVBand="1"/>
      </w:tblPr>
      <w:tblGrid>
        <w:gridCol w:w="5393"/>
        <w:gridCol w:w="1802"/>
        <w:gridCol w:w="1776"/>
        <w:gridCol w:w="1819"/>
      </w:tblGrid>
      <w:tr w:rsidR="00D87C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Agrupamento de Servidores</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577">
              <w:r w:rsidR="00AC602F">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579">
              <w:r w:rsidR="00AC602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580">
              <w:r w:rsidR="00AC602F">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581">
              <w:r w:rsidR="00AC602F">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755">
              <w:r w:rsidR="00AC602F">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841">
              <w:r w:rsidR="00AC602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651">
              <w:r w:rsidR="00AC602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841">
              <w:r w:rsidR="00AC602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582">
              <w:r w:rsidR="00AC602F">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583">
              <w:r w:rsidR="00AC602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584">
              <w:r w:rsidR="00AC602F">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585">
              <w:r w:rsidR="00AC602F">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586">
              <w:r w:rsidR="00AC602F">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818">
              <w:r w:rsidR="00AC602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587">
              <w:r w:rsidR="00AC602F">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838">
              <w:r w:rsidR="00AC602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588">
              <w:r w:rsidR="00AC602F">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589">
              <w:r w:rsidR="00AC602F">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590">
              <w:r w:rsidR="00AC602F">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841">
              <w:r w:rsidR="00AC602F">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841">
              <w:r w:rsidR="00AC602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50418C">
            <w:pPr>
              <w:pStyle w:val="ProductList-TableBody"/>
            </w:pPr>
            <w:hyperlink w:anchor="_Sec652">
              <w:r w:rsidR="00AC602F">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jc w:val="center"/>
            </w:pPr>
          </w:p>
        </w:tc>
      </w:tr>
    </w:tbl>
    <w:p w:rsidR="00D87CDE" w:rsidRDefault="00AC602F">
      <w:pPr>
        <w:pStyle w:val="ProductList-Body"/>
      </w:pPr>
      <w:r>
        <w:rPr>
          <w:vertAlign w:val="superscript"/>
        </w:rPr>
        <w:t>1</w:t>
      </w:r>
      <w:r>
        <w:rPr>
          <w:i/>
        </w:rPr>
        <w:t>Para fins de cálculos de Benefícios de SA, os seguintes Serviços Online são considerados Produtos do Conjunto Aplicacional do Office: Enterprise Cloud Suite de SA Existente, Office 365 E1 de SA Existente, Office 365 E3 de SA Existente, Office 365 E4 de SA Existente e EMS de SA Existente.</w:t>
      </w:r>
    </w:p>
    <w:p w:rsidR="00D87CDE" w:rsidRDefault="00AC602F">
      <w:pPr>
        <w:pStyle w:val="ProductList-Body"/>
      </w:pPr>
      <w:r>
        <w:rPr>
          <w:vertAlign w:val="superscript"/>
        </w:rPr>
        <w:t xml:space="preserve">2 </w:t>
      </w:r>
      <w:r>
        <w:rPr>
          <w:i/>
        </w:rPr>
        <w:t>Os clientes existentes com SA para Windows Pro Upgrade ou Windows Embedded Industry Pro Upgrade continuam a receber Direitos Enterprise Edition.</w:t>
      </w:r>
    </w:p>
    <w:p w:rsidR="00D87CDE" w:rsidRDefault="00AC602F">
      <w:pPr>
        <w:pStyle w:val="ProductList-ClauseHeading"/>
        <w:outlineLvl w:val="2"/>
      </w:pPr>
      <w:bookmarkStart w:id="390" w:name="_Sec577"/>
      <w:r>
        <w:t>Direitos de Nova Versão</w:t>
      </w:r>
      <w:bookmarkEnd w:id="390"/>
    </w:p>
    <w:p w:rsidR="00D87CDE" w:rsidRDefault="00AC602F">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 </w:t>
      </w:r>
    </w:p>
    <w:p w:rsidR="00D87CDE" w:rsidRDefault="00D87CDE">
      <w:pPr>
        <w:pStyle w:val="ProductList-Body"/>
      </w:pPr>
    </w:p>
    <w:p w:rsidR="00D87CDE" w:rsidRDefault="00AC602F">
      <w:pPr>
        <w:pStyle w:val="ProductList-ClauseHeading"/>
        <w:outlineLvl w:val="2"/>
      </w:pPr>
      <w:bookmarkStart w:id="391" w:name="_Sec579"/>
      <w:r>
        <w:t>Serviços do Office Online e Office Online Server</w:t>
      </w:r>
      <w:bookmarkEnd w:id="391"/>
    </w:p>
    <w:p w:rsidR="00D87CDE" w:rsidRDefault="00AC602F">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D87C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Direitos do Office Online</w:t>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Standard</w:t>
            </w:r>
            <w:r>
              <w:fldChar w:fldCharType="begin"/>
            </w:r>
            <w:r>
              <w:instrText xml:space="preserve"> XE "Office Standard" </w:instrText>
            </w:r>
            <w:r>
              <w:fldChar w:fldCharType="end"/>
            </w:r>
          </w:p>
          <w:p w:rsidR="00D87CDE" w:rsidRDefault="00AC602F">
            <w:pPr>
              <w:pStyle w:val="ProductList-TableBody"/>
            </w:pPr>
            <w:r>
              <w:t>Office Professional Plus</w:t>
            </w:r>
            <w:r>
              <w:fldChar w:fldCharType="begin"/>
            </w:r>
            <w:r>
              <w:instrText xml:space="preserve"> XE "Office Professional Plus" </w:instrText>
            </w:r>
            <w:r>
              <w:fldChar w:fldCharType="end"/>
            </w:r>
          </w:p>
          <w:p w:rsidR="00D87CDE" w:rsidRDefault="00AC602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Online para Office 365</w:t>
            </w:r>
            <w:r>
              <w:fldChar w:fldCharType="begin"/>
            </w:r>
            <w:r>
              <w:instrText xml:space="preserve"> XE "Office Online para Office 365" </w:instrText>
            </w:r>
            <w:r>
              <w:fldChar w:fldCharType="end"/>
            </w:r>
          </w:p>
          <w:p w:rsidR="00D87CDE" w:rsidRDefault="00AC602F">
            <w:pPr>
              <w:pStyle w:val="ProductList-TableBody"/>
            </w:pPr>
            <w:r>
              <w:t>Office Online Server</w:t>
            </w:r>
          </w:p>
        </w:tc>
      </w:tr>
    </w:tbl>
    <w:p w:rsidR="00D87CDE" w:rsidRDefault="00AC602F">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D87CDE" w:rsidRDefault="00D87CDE">
      <w:pPr>
        <w:pStyle w:val="ProductList-Body"/>
      </w:pPr>
    </w:p>
    <w:p w:rsidR="00D87CDE" w:rsidRDefault="00AC602F">
      <w:pPr>
        <w:pStyle w:val="ProductList-ClauseHeading"/>
        <w:outlineLvl w:val="2"/>
      </w:pPr>
      <w:bookmarkStart w:id="392" w:name="_Sec580"/>
      <w:r>
        <w:t>Serviços de Planeamento</w:t>
      </w:r>
      <w:bookmarkEnd w:id="392"/>
    </w:p>
    <w:p w:rsidR="00D87CDE" w:rsidRDefault="00AC602F">
      <w:pPr>
        <w:pStyle w:val="ProductList-Body"/>
      </w:pPr>
      <w:r>
        <w:t>Os clientes (que não os de Licença Academic Select, Select Plus for Academic, Contrato Campus e School e Open Value Subscription – Education Solutions) com SAM nos Conjuntos Aplicacionais e Agrupamentos de Servidores são elegíveis para este benefício. O benefício dos Serviços de Planeamento fornece aos clientes qualificáveis ofertas de serviços personalizados pré-determinados.</w:t>
      </w:r>
    </w:p>
    <w:p w:rsidR="00D87CDE" w:rsidRDefault="00D87CDE">
      <w:pPr>
        <w:pStyle w:val="ProductList-Body"/>
      </w:pPr>
    </w:p>
    <w:p w:rsidR="00D87CDE" w:rsidRDefault="00AC602F">
      <w:pPr>
        <w:pStyle w:val="ProductList-Body"/>
      </w:pPr>
      <w:r>
        <w:t>Os clientes qualificados recebem um número de dias de Serviços de Planeamento com base no número de licenças qualificáveis. O número de dias que o Cliente recebe para as ofertas de Serviços de Planeamento disponíveis está combinado num conjunto de dias de Serviços de Planeamento. A seguinte tabela lista as licenças qualificáveis de aplicações e servidores e os pontos associados a cada uma delas:</w:t>
      </w:r>
    </w:p>
    <w:tbl>
      <w:tblPr>
        <w:tblStyle w:val="PURTable"/>
        <w:tblW w:w="0" w:type="dxa"/>
        <w:tblLook w:val="04A0" w:firstRow="1" w:lastRow="0" w:firstColumn="1" w:lastColumn="0" w:noHBand="0" w:noVBand="1"/>
      </w:tblPr>
      <w:tblGrid>
        <w:gridCol w:w="9008"/>
        <w:gridCol w:w="1782"/>
      </w:tblGrid>
      <w:tr w:rsidR="00D87CD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Pontos</w:t>
            </w:r>
          </w:p>
        </w:tc>
      </w:tr>
      <w:tr w:rsidR="00D87CDE">
        <w:tc>
          <w:tcPr>
            <w:tcW w:w="101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1</w:t>
            </w:r>
          </w:p>
        </w:tc>
      </w:tr>
      <w:tr w:rsidR="00D87CDE">
        <w:tc>
          <w:tcPr>
            <w:tcW w:w="101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25</w:t>
            </w:r>
          </w:p>
        </w:tc>
      </w:tr>
      <w:tr w:rsidR="00D87CDE">
        <w:tc>
          <w:tcPr>
            <w:tcW w:w="101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50</w:t>
            </w:r>
          </w:p>
        </w:tc>
      </w:tr>
      <w:tr w:rsidR="00D87CDE">
        <w:tc>
          <w:tcPr>
            <w:tcW w:w="101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75</w:t>
            </w:r>
          </w:p>
        </w:tc>
      </w:tr>
    </w:tbl>
    <w:p w:rsidR="00D87CDE" w:rsidRDefault="00AC602F">
      <w:pPr>
        <w:pStyle w:val="ProductList-Body"/>
      </w:pPr>
      <w:r>
        <w:rPr>
          <w:b/>
          <w:i/>
        </w:rPr>
        <w:t>Nota:</w:t>
      </w:r>
      <w:r>
        <w:rPr>
          <w:i/>
        </w:rPr>
        <w:t xml:space="preserve"> Para as SQL CALs, consulte a tabela de CAL Suites nesta secção</w:t>
      </w:r>
    </w:p>
    <w:p w:rsidR="00D87CDE" w:rsidRDefault="00AC602F">
      <w:pPr>
        <w:pStyle w:val="ProductList-Body"/>
      </w:pPr>
      <w:r>
        <w:rPr>
          <w:vertAlign w:val="superscript"/>
        </w:rPr>
        <w:t>1</w:t>
      </w:r>
      <w:r>
        <w:rPr>
          <w:i/>
        </w:rPr>
        <w:t xml:space="preserve"> Para Microsoft Dynamics CRM Professional CAL, são concedidos 2 pontos</w:t>
      </w:r>
    </w:p>
    <w:p w:rsidR="00D87CDE" w:rsidRDefault="00D87CDE">
      <w:pPr>
        <w:pStyle w:val="ProductList-Body"/>
      </w:pPr>
    </w:p>
    <w:p w:rsidR="00D87CDE" w:rsidRDefault="00AC602F">
      <w:pPr>
        <w:pStyle w:val="ProductList-Body"/>
      </w:pPr>
      <w:r>
        <w:t>Os produtos elegíveis adquiridos ao abrigo da SCE aumentarão o mesmo número de pontos relativos aos Serviços de Planeamento de Implementação (DPS) tal como com outros programas. 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D87CD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600,000+</w:t>
            </w:r>
          </w:p>
        </w:tc>
      </w:tr>
      <w:tr w:rsidR="00D87CD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87CDE" w:rsidRDefault="00AC602F">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75</w:t>
            </w:r>
          </w:p>
        </w:tc>
      </w:tr>
    </w:tbl>
    <w:p w:rsidR="00D87CDE" w:rsidRDefault="00D87CDE">
      <w:pPr>
        <w:pStyle w:val="ProductList-Body"/>
      </w:pPr>
    </w:p>
    <w:p w:rsidR="00D87CDE" w:rsidRDefault="00AC602F">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D87CD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87CDE" w:rsidRDefault="00AC602F">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87CDE" w:rsidRDefault="00AC602F">
            <w:pPr>
              <w:pStyle w:val="ProductList-TableBody"/>
            </w:pPr>
            <w:r>
              <w:t>→600,000+</w:t>
            </w:r>
          </w:p>
        </w:tc>
      </w:tr>
      <w:tr w:rsidR="00D87CD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87CDE" w:rsidRDefault="00AC602F">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12</w:t>
            </w:r>
          </w:p>
        </w:tc>
      </w:tr>
    </w:tbl>
    <w:p w:rsidR="00D87CDE" w:rsidRDefault="00AC602F">
      <w:pPr>
        <w:pStyle w:val="ProductList-Body"/>
      </w:pPr>
      <w:r>
        <w:t xml:space="preserve">Os clientes poderão selecionar as ofertas de Serviços de Planeamento disponíveis fornecidas por Parceiros da Microsoft qualificados ou Serviços de Consultoria da Microsoft. Pode encontrar uma lista de serviços disponíveis em </w:t>
      </w:r>
      <w:hyperlink r:id="rId134">
        <w:r>
          <w:rPr>
            <w:color w:val="00467F"/>
            <w:u w:val="single"/>
          </w:rPr>
          <w:t>http://www.microsoft.com/licensing/software-assurance/planning-services-overview.aspx</w:t>
        </w:r>
      </w:hyperlink>
      <w:r>
        <w:t xml:space="preserve">. </w:t>
      </w:r>
    </w:p>
    <w:p w:rsidR="00D87CDE" w:rsidRDefault="00D87CDE">
      <w:pPr>
        <w:pStyle w:val="ProductList-Body"/>
      </w:pPr>
    </w:p>
    <w:p w:rsidR="00D87CDE" w:rsidRDefault="00AC602F">
      <w:pPr>
        <w:pStyle w:val="ProductList-Body"/>
      </w:pPr>
      <w:r>
        <w:t>A lista de serviços disponíveis e níveis de serviço associados poderá alterar em qualquer altura. Os Fornecedores Qualificados fornecerão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D87CDE" w:rsidRDefault="00AC602F" w:rsidP="00AC602F">
      <w:pPr>
        <w:pStyle w:val="ProductList-Bullet"/>
        <w:numPr>
          <w:ilvl w:val="0"/>
          <w:numId w:val="36"/>
        </w:numPr>
      </w:pPr>
      <w:r>
        <w:t xml:space="preserve">Os Serviços de Planeamento poderão ser prestados ao Cliente por Parceiros da Microsoft qualificados ou Serviços de Consultoria da Microsoft. Os serviços fornecidos em vouchers são prestados ao abrigo de um contrato entre o Cliente e o Fornecedor Qualificado; o Cliente pode ver a lista de Fornecedores Qualificados aqui: </w:t>
      </w:r>
      <w:hyperlink r:id="rId135">
        <w:r>
          <w:rPr>
            <w:color w:val="00467F"/>
            <w:u w:val="single"/>
          </w:rPr>
          <w:t>http://directory.partners.extranet.microsoft.com/psbproviders</w:t>
        </w:r>
      </w:hyperlink>
    </w:p>
    <w:p w:rsidR="00D87CDE" w:rsidRDefault="00AC602F" w:rsidP="00AC602F">
      <w:pPr>
        <w:pStyle w:val="ProductList-Bullet"/>
        <w:numPr>
          <w:ilvl w:val="0"/>
          <w:numId w:val="36"/>
        </w:numPr>
      </w:pPr>
      <w:r>
        <w:t>Os compromissos dos Serviços de Planeamento fornecem consultoria que abrange um âmbito de trabalho pré-determinado que resulta num plano de implementação de alto nível; a implementação real do software não pode ser incluída.</w:t>
      </w:r>
    </w:p>
    <w:p w:rsidR="00D87CDE" w:rsidRDefault="00AC602F" w:rsidP="00AC602F">
      <w:pPr>
        <w:pStyle w:val="ProductList-Bullet"/>
        <w:numPr>
          <w:ilvl w:val="0"/>
          <w:numId w:val="36"/>
        </w:numPr>
      </w:pPr>
      <w:r>
        <w:t>Os vouchers de Serviços de Planeamento só podem ser resgatados pelo cliente que foi qualificado para o benefício.</w:t>
      </w:r>
    </w:p>
    <w:p w:rsidR="00D87CDE" w:rsidRDefault="00AC602F" w:rsidP="00AC602F">
      <w:pPr>
        <w:pStyle w:val="ProductList-Bullet"/>
        <w:numPr>
          <w:ilvl w:val="0"/>
          <w:numId w:val="36"/>
        </w:numPr>
      </w:pPr>
      <w:r>
        <w:t>Os vouchers de Serviços de Planeamento não podem ser trocados por dinheiro, fundos ou outras considerações valiosas.</w:t>
      </w:r>
    </w:p>
    <w:p w:rsidR="00D87CDE" w:rsidRDefault="00AC602F" w:rsidP="00AC602F">
      <w:pPr>
        <w:pStyle w:val="ProductList-Bullet"/>
        <w:numPr>
          <w:ilvl w:val="0"/>
          <w:numId w:val="36"/>
        </w:numPr>
      </w:pPr>
      <w:r>
        <w:t>A redução da cobertura SA qualificável como resultado de devoluções e outros ajustamentos na faturação, se forem permitidos, poderá diminuir os dias de Serviços de Planeamento permitidos ao Cliente.</w:t>
      </w:r>
    </w:p>
    <w:p w:rsidR="00D87CDE" w:rsidRDefault="00AC602F" w:rsidP="00AC602F">
      <w:pPr>
        <w:pStyle w:val="ProductList-Bullet"/>
        <w:numPr>
          <w:ilvl w:val="0"/>
          <w:numId w:val="36"/>
        </w:numPr>
      </w:pPr>
      <w:r>
        <w:t>Os tipos de voucher não poderão ser combinados. Os compromissos dos Serviços de Planeamento não podem exceder a duração máxima especificada por tipo de compromisso.</w:t>
      </w:r>
    </w:p>
    <w:p w:rsidR="00D87CDE" w:rsidRDefault="00AC602F" w:rsidP="00AC602F">
      <w:pPr>
        <w:pStyle w:val="ProductList-Bullet"/>
        <w:numPr>
          <w:ilvl w:val="0"/>
          <w:numId w:val="36"/>
        </w:numPr>
      </w:pPr>
      <w:r>
        <w:t>Os vouchers só são válidos com Fornecedores qualificados para o tipo de serviço específico para o qual o voucher está a ser resgatado.</w:t>
      </w:r>
    </w:p>
    <w:p w:rsidR="00D87CDE" w:rsidRDefault="00AC602F" w:rsidP="00AC602F">
      <w:pPr>
        <w:pStyle w:val="ProductList-Bullet"/>
        <w:numPr>
          <w:ilvl w:val="0"/>
          <w:numId w:val="36"/>
        </w:numPr>
      </w:pPr>
      <w:r>
        <w:t>Os vouchers têm de ser atribuídos durante o período de cobertura SA.</w:t>
      </w:r>
    </w:p>
    <w:p w:rsidR="00D87CDE" w:rsidRDefault="00AC602F" w:rsidP="00AC602F">
      <w:pPr>
        <w:pStyle w:val="ProductList-Bullet"/>
        <w:numPr>
          <w:ilvl w:val="0"/>
          <w:numId w:val="36"/>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D87CDE" w:rsidRDefault="00D87CDE">
      <w:pPr>
        <w:pStyle w:val="ProductList-Body"/>
      </w:pPr>
    </w:p>
    <w:p w:rsidR="00D87CDE" w:rsidRDefault="00AC602F">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D87CDE" w:rsidRDefault="00D87CDE">
      <w:pPr>
        <w:pStyle w:val="ProductList-Body"/>
      </w:pPr>
    </w:p>
    <w:p w:rsidR="00D87CDE" w:rsidRDefault="00AC602F">
      <w:pPr>
        <w:pStyle w:val="ProductList-ClauseHeading"/>
        <w:outlineLvl w:val="2"/>
      </w:pPr>
      <w:bookmarkStart w:id="393" w:name="_Sec581"/>
      <w:r>
        <w:t>Programa Enterprise Source Licensing Program</w:t>
      </w:r>
      <w:bookmarkEnd w:id="393"/>
    </w:p>
    <w:p w:rsidR="00D87CDE" w:rsidRDefault="00AC602F">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D87CDE" w:rsidRDefault="00D87CDE">
      <w:pPr>
        <w:pStyle w:val="ProductList-Body"/>
      </w:pPr>
    </w:p>
    <w:p w:rsidR="00D87CDE" w:rsidRDefault="00AC602F">
      <w:pPr>
        <w:pStyle w:val="ProductList-ClauseHeading"/>
        <w:outlineLvl w:val="2"/>
      </w:pPr>
      <w:bookmarkStart w:id="394" w:name="_Sec582"/>
      <w:r>
        <w:t>Vouchers de Formação</w:t>
      </w:r>
      <w:bookmarkEnd w:id="394"/>
    </w:p>
    <w:p w:rsidR="00D87CDE" w:rsidRDefault="00AC602F">
      <w:pPr>
        <w:pStyle w:val="ProductList-Body"/>
      </w:pPr>
      <w:r>
        <w:t>Os clientes (que não os clientes de Licença Academic Select, Select Plus for Academic, Open Value Subscription – Education Solutions, Contrato Campus e School) com SAM nas famílias de produtos de aplicações ou sistemas são elegíveis para os Vouchers de Formação da Microsoft concedendo um número específico de dias de formação, com base numa inscrição de três anos ou na vigência do Contrato, conforme descrito abaixo.</w:t>
      </w:r>
    </w:p>
    <w:tbl>
      <w:tblPr>
        <w:tblStyle w:val="PURTable"/>
        <w:tblW w:w="0" w:type="dxa"/>
        <w:tblLook w:val="04A0" w:firstRow="1" w:lastRow="0" w:firstColumn="1" w:lastColumn="0" w:noHBand="0" w:noVBand="1"/>
      </w:tblPr>
      <w:tblGrid>
        <w:gridCol w:w="3592"/>
        <w:gridCol w:w="3611"/>
        <w:gridCol w:w="3587"/>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Conjunto de Sistemas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 dia por 50 licenças (máximo de 10 dias)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 dia por 50 licenças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20 dias por inscrição elegível</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10 dias por inscrição elegível</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15 dias*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25 dias*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55 dias*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80 dias*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125 dias*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200 dias*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300 dias*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400 dias*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700 dias*</w:t>
            </w:r>
          </w:p>
        </w:tc>
      </w:tr>
    </w:tbl>
    <w:p w:rsidR="00D87CDE" w:rsidRDefault="00AC602F">
      <w:pPr>
        <w:pStyle w:val="ProductList-Body"/>
      </w:pPr>
      <w:r>
        <w:t>*</w:t>
      </w:r>
      <w:r>
        <w:rPr>
          <w:i/>
        </w:rPr>
        <w:t>Número de dias por inscrição ou contrato elegível.</w:t>
      </w:r>
    </w:p>
    <w:p w:rsidR="00D87CDE" w:rsidRDefault="00D87CDE">
      <w:pPr>
        <w:pStyle w:val="ProductList-Body"/>
      </w:pPr>
    </w:p>
    <w:p w:rsidR="00D87CDE" w:rsidRDefault="00AC602F" w:rsidP="00AC602F">
      <w:pPr>
        <w:pStyle w:val="ProductList-Bullet"/>
        <w:numPr>
          <w:ilvl w:val="0"/>
          <w:numId w:val="37"/>
        </w:numPr>
      </w:pPr>
      <w:r>
        <w:t xml:space="preserve">Os serviços fornecidos em vouchers são prestados ao abrigo de um contrato entre o Cliente e o Microsoft Learning Partner qualificado. </w:t>
      </w:r>
    </w:p>
    <w:p w:rsidR="00D87CDE" w:rsidRDefault="00AC602F" w:rsidP="00AC602F">
      <w:pPr>
        <w:pStyle w:val="ProductList-Bullet"/>
        <w:numPr>
          <w:ilvl w:val="0"/>
          <w:numId w:val="37"/>
        </w:numPr>
      </w:pPr>
      <w:r>
        <w:t xml:space="preserve">Os cursos apresentados de uma forma rápida requerem um número de dias de voucher equivalente ao número de dias de curso para a apresentação normal do curso definida na Validação do Voucher SATV e no Sistema de Reserva. </w:t>
      </w:r>
    </w:p>
    <w:p w:rsidR="00D87CDE" w:rsidRDefault="00AC602F" w:rsidP="00AC602F">
      <w:pPr>
        <w:pStyle w:val="ProductList-Bullet"/>
        <w:numPr>
          <w:ilvl w:val="0"/>
          <w:numId w:val="37"/>
        </w:numPr>
      </w:pPr>
      <w:r>
        <w:t xml:space="preserve">O voucher só é resgatável nos dias de formação orientada por um instrutor com Microsoft Learning Partners qualificados em cursos aprovados. Os cursos personalizados (que não a apresentação rápida dos cursos aprovados, cursos personalizados compilados exclusivamente de cursos aprovados ou exceções pré-aprovadas baseadas nos problemas dos sistemas ou nos programas piloto) não são elegíveis para cobertura por estes vouchers.   </w:t>
      </w:r>
    </w:p>
    <w:p w:rsidR="00D87CDE" w:rsidRDefault="00AC602F" w:rsidP="00AC602F">
      <w:pPr>
        <w:pStyle w:val="ProductList-Bullet"/>
        <w:numPr>
          <w:ilvl w:val="0"/>
          <w:numId w:val="37"/>
        </w:numPr>
      </w:pPr>
      <w:r>
        <w:t>Os vouchers não podem ser utilizados para abranger quaisquer honorários relacionados com um cliente que não compareça num curso reservado.</w:t>
      </w:r>
    </w:p>
    <w:p w:rsidR="00D87CDE" w:rsidRDefault="00AC602F" w:rsidP="00AC602F">
      <w:pPr>
        <w:pStyle w:val="ProductList-Bullet"/>
        <w:numPr>
          <w:ilvl w:val="0"/>
          <w:numId w:val="37"/>
        </w:numPr>
      </w:pPr>
      <w:r>
        <w:t>Os vouchers só poderão ser resgatados pelo indivíduo aprovado pelo cliente para utilizar o voucher.</w:t>
      </w:r>
    </w:p>
    <w:p w:rsidR="00D87CDE" w:rsidRDefault="00AC602F" w:rsidP="00AC602F">
      <w:pPr>
        <w:pStyle w:val="ProductList-Bullet"/>
        <w:numPr>
          <w:ilvl w:val="0"/>
          <w:numId w:val="37"/>
        </w:numPr>
      </w:pPr>
      <w:r>
        <w:t xml:space="preserve">Os vouchers não poderão ser trocados por dinheiro, fundos ou outras considerações valiosas. </w:t>
      </w:r>
    </w:p>
    <w:p w:rsidR="00D87CDE" w:rsidRDefault="00AC602F" w:rsidP="00AC602F">
      <w:pPr>
        <w:pStyle w:val="ProductList-Bullet"/>
        <w:numPr>
          <w:ilvl w:val="0"/>
          <w:numId w:val="37"/>
        </w:numPr>
      </w:pPr>
      <w:r>
        <w:t xml:space="preserve">Os vouchers têm de ser atribuídos durante o período de cobertura SA. </w:t>
      </w:r>
    </w:p>
    <w:p w:rsidR="00D87CDE" w:rsidRDefault="00AC602F" w:rsidP="00AC602F">
      <w:pPr>
        <w:pStyle w:val="ProductList-Bullet"/>
        <w:numPr>
          <w:ilvl w:val="0"/>
          <w:numId w:val="37"/>
        </w:numPr>
      </w:pPr>
      <w:r>
        <w:t xml:space="preserve">Os vouchers expiram 180 dias a contar da data da atribuição do voucher. Os vouchers que expiram antes da expiração da cobertura SA serão devolvidos no conjunto de dias disponíveis do Voucher de Formação. </w:t>
      </w:r>
    </w:p>
    <w:p w:rsidR="00D87CDE" w:rsidRDefault="00AC602F" w:rsidP="00AC602F">
      <w:pPr>
        <w:pStyle w:val="ProductList-Bullet"/>
        <w:numPr>
          <w:ilvl w:val="0"/>
          <w:numId w:val="37"/>
        </w:numPr>
      </w:pPr>
      <w:r>
        <w:t xml:space="preserve">Um dia de Voucher de Formação é igual a um dia de sessão de formação. </w:t>
      </w:r>
    </w:p>
    <w:p w:rsidR="00D87CDE" w:rsidRDefault="00AC602F" w:rsidP="00AC602F">
      <w:pPr>
        <w:pStyle w:val="ProductList-Bullet"/>
        <w:numPr>
          <w:ilvl w:val="0"/>
          <w:numId w:val="37"/>
        </w:numPr>
      </w:pPr>
      <w:r>
        <w:t xml:space="preserve">Os vouchers poderão ser utilizados para reservar formação com apenas um Microsoft Learning Partner qualificado de cada vez. </w:t>
      </w:r>
    </w:p>
    <w:p w:rsidR="00D87CDE" w:rsidRDefault="00AC602F" w:rsidP="00AC602F">
      <w:pPr>
        <w:pStyle w:val="ProductList-Bullet"/>
        <w:numPr>
          <w:ilvl w:val="0"/>
          <w:numId w:val="37"/>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D87CDE" w:rsidRDefault="00AC602F" w:rsidP="00AC602F">
      <w:pPr>
        <w:pStyle w:val="ProductList-Bullet"/>
        <w:numPr>
          <w:ilvl w:val="0"/>
          <w:numId w:val="37"/>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D87CDE" w:rsidRDefault="00D87CDE">
      <w:pPr>
        <w:pStyle w:val="ProductList-Body"/>
      </w:pPr>
    </w:p>
    <w:p w:rsidR="00D87CDE" w:rsidRDefault="00AC602F">
      <w:pPr>
        <w:pStyle w:val="ProductList-ClauseHeading"/>
        <w:outlineLvl w:val="2"/>
      </w:pPr>
      <w:bookmarkStart w:id="395" w:name="_Sec583"/>
      <w:r>
        <w:t>E-Learning</w:t>
      </w:r>
      <w:bookmarkEnd w:id="395"/>
    </w:p>
    <w:p w:rsidR="00D87CDE" w:rsidRDefault="00AC602F">
      <w:pPr>
        <w:pStyle w:val="ProductList-Body"/>
      </w:pPr>
      <w:r>
        <w:t>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D87CDE" w:rsidRDefault="00D87CDE">
      <w:pPr>
        <w:pStyle w:val="ProductList-Body"/>
      </w:pPr>
    </w:p>
    <w:p w:rsidR="00D87CDE" w:rsidRDefault="00AC602F">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D87CDE" w:rsidRDefault="00D87CDE">
      <w:pPr>
        <w:pStyle w:val="ProductList-Body"/>
      </w:pPr>
    </w:p>
    <w:p w:rsidR="00D87CDE" w:rsidRDefault="00AC602F">
      <w:pPr>
        <w:pStyle w:val="ProductList-ClauseHeading"/>
        <w:outlineLvl w:val="2"/>
      </w:pPr>
      <w:bookmarkStart w:id="396" w:name="_Sec584"/>
      <w:r>
        <w:t>Programa de Direitos de Utilização Doméstica</w:t>
      </w:r>
      <w:bookmarkEnd w:id="396"/>
    </w:p>
    <w:p w:rsidR="00D87CDE" w:rsidRDefault="00AC602F">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com programas Academic Select (sem SAM), Academic Select Plus (sem SAM) e Academic Open que não são elegíveis para este benefício.</w:t>
      </w:r>
    </w:p>
    <w:p w:rsidR="00D87CDE" w:rsidRDefault="00D87CDE">
      <w:pPr>
        <w:pStyle w:val="ProductList-Body"/>
      </w:pPr>
    </w:p>
    <w:p w:rsidR="00D87CDE" w:rsidRDefault="00AC602F">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D87CDE" w:rsidRDefault="00D87CDE">
      <w:pPr>
        <w:pStyle w:val="ProductList-Body"/>
      </w:pPr>
    </w:p>
    <w:p w:rsidR="00D87CDE" w:rsidRDefault="00AC602F">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D87CDE" w:rsidRDefault="00D87CDE">
      <w:pPr>
        <w:pStyle w:val="ProductList-Body"/>
      </w:pPr>
    </w:p>
    <w:p w:rsidR="00D87CDE" w:rsidRDefault="00AC602F">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D87C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Licença de Programa de Direitos de Utilização Doméstica Correspondente</w:t>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Standard 2010/2013/2016</w:t>
            </w:r>
          </w:p>
          <w:p w:rsidR="00D87CDE" w:rsidRDefault="00AC602F">
            <w:pPr>
              <w:pStyle w:val="ProductList-TableBody"/>
            </w:pPr>
            <w:r>
              <w:t xml:space="preserve">Office Professional Plus 2010/2013/2016 </w:t>
            </w:r>
          </w:p>
          <w:p w:rsidR="00D87CDE" w:rsidRDefault="00AC602F">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Professional Plus 2016 HUP ou Office Casa e Negócios 2016 para Mac com Lync DL HUP</w:t>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Access 2010/2013/2016</w:t>
            </w:r>
          </w:p>
          <w:p w:rsidR="00D87CDE" w:rsidRDefault="00AC602F">
            <w:pPr>
              <w:pStyle w:val="ProductList-TableBody"/>
            </w:pPr>
            <w:r>
              <w:t>Excel 2010/2013/2016</w:t>
            </w:r>
          </w:p>
          <w:p w:rsidR="00D87CDE" w:rsidRDefault="00AC602F">
            <w:pPr>
              <w:pStyle w:val="ProductList-TableBody"/>
            </w:pPr>
            <w:r>
              <w:t>PowerPoint 2010/2013/2016</w:t>
            </w:r>
          </w:p>
          <w:p w:rsidR="00D87CDE" w:rsidRDefault="00AC602F">
            <w:pPr>
              <w:pStyle w:val="ProductList-TableBody"/>
            </w:pPr>
            <w:r>
              <w:t>InfoPath 2010/2013/2016</w:t>
            </w:r>
          </w:p>
          <w:p w:rsidR="00D87CDE" w:rsidRDefault="00AC602F">
            <w:pPr>
              <w:pStyle w:val="ProductList-TableBody"/>
            </w:pPr>
            <w:r>
              <w:t>Lync 2010/2013/2015</w:t>
            </w:r>
          </w:p>
          <w:p w:rsidR="00D87CDE" w:rsidRDefault="00AC602F">
            <w:pPr>
              <w:pStyle w:val="ProductList-TableBody"/>
            </w:pPr>
            <w:r>
              <w:t>OneNote 2010/2013/2016</w:t>
            </w:r>
          </w:p>
          <w:p w:rsidR="00D87CDE" w:rsidRDefault="00AC602F">
            <w:pPr>
              <w:pStyle w:val="ProductList-TableBody"/>
            </w:pPr>
            <w:r>
              <w:t>Outlook 2010/2013/2016</w:t>
            </w:r>
          </w:p>
          <w:p w:rsidR="00D87CDE" w:rsidRDefault="00AC602F">
            <w:pPr>
              <w:pStyle w:val="ProductList-TableBody"/>
            </w:pPr>
            <w:r>
              <w:t>Publisher 2010/2013/2016</w:t>
            </w:r>
          </w:p>
          <w:p w:rsidR="00D87CDE" w:rsidRDefault="00AC602F">
            <w:pPr>
              <w:pStyle w:val="ProductList-TableBody"/>
            </w:pPr>
            <w:r>
              <w:t>Skype para Business 2015</w:t>
            </w:r>
          </w:p>
          <w:p w:rsidR="00D87CDE" w:rsidRDefault="00AC602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Office Professional Plus 2016 HUP ou Office Casa e Negócios 2016 para Mac com Lync DL HUP </w:t>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Visio Standard 2010/2013/2016 </w:t>
            </w:r>
          </w:p>
          <w:p w:rsidR="00D87CDE" w:rsidRDefault="00AC602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Visio Professional 2016 HUP</w:t>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Project Standard 2010/2013/2016</w:t>
            </w:r>
          </w:p>
          <w:p w:rsidR="00D87CDE" w:rsidRDefault="00AC602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Project Professional 2016 HUP</w:t>
            </w:r>
          </w:p>
        </w:tc>
      </w:tr>
    </w:tbl>
    <w:p w:rsidR="00D87CDE" w:rsidRDefault="00AC602F">
      <w:pPr>
        <w:pStyle w:val="ProductList-Body"/>
      </w:pPr>
      <w:r>
        <w:rPr>
          <w:i/>
        </w:rPr>
        <w:t xml:space="preserve">Para mais informações, incluindo as informações sobre a disponibilidade futura do software do Programa de Direitos de Utilização Doméstica adicional, consulte </w:t>
      </w:r>
      <w:hyperlink r:id="rId136">
        <w:r>
          <w:rPr>
            <w:i/>
            <w:color w:val="00467F"/>
            <w:u w:val="single"/>
          </w:rPr>
          <w:t>http://www.microsoft.com/licensing</w:t>
        </w:r>
      </w:hyperlink>
      <w:r>
        <w:rPr>
          <w:i/>
        </w:rPr>
        <w:t>.</w:t>
      </w:r>
    </w:p>
    <w:p w:rsidR="00D87CDE" w:rsidRDefault="00D87CDE">
      <w:pPr>
        <w:pStyle w:val="ProductList-Body"/>
      </w:pPr>
    </w:p>
    <w:p w:rsidR="00D87CDE" w:rsidRDefault="00AC602F">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D87CDE" w:rsidRDefault="00D87CDE">
      <w:pPr>
        <w:pStyle w:val="ProductList-Body"/>
        <w:jc w:val="right"/>
      </w:pPr>
    </w:p>
    <w:p w:rsidR="00D87CDE" w:rsidRDefault="00AC602F">
      <w:pPr>
        <w:pStyle w:val="ProductList-ClauseHeading"/>
        <w:outlineLvl w:val="2"/>
      </w:pPr>
      <w:bookmarkStart w:id="397" w:name="_Sec585"/>
      <w:r>
        <w:t>Suporte 24x7 à Resolução de Problemas</w:t>
      </w:r>
      <w:bookmarkEnd w:id="397"/>
    </w:p>
    <w:p w:rsidR="00D87CDE" w:rsidRDefault="00AC602F">
      <w:pPr>
        <w:pStyle w:val="ProductList-Body"/>
      </w:pPr>
      <w:r>
        <w:t xml:space="preserve">Os clientes (que não os clientes de Licença Academic Select, Select Plus for Academic, Licença Academic Open, Contrato Campus e School e Open Value Subscription – Education Solutions) com cobertura SA são elegíveis para o Suporte 24x7 à Resolução de Problemas. </w:t>
      </w:r>
    </w:p>
    <w:p w:rsidR="00D87CDE" w:rsidRDefault="00D87CDE">
      <w:pPr>
        <w:pStyle w:val="ProductList-Body"/>
      </w:pPr>
    </w:p>
    <w:p w:rsidR="00D87CDE" w:rsidRDefault="00AC602F">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D87CDE" w:rsidRDefault="00D87CDE">
      <w:pPr>
        <w:pStyle w:val="ProductList-Body"/>
      </w:pPr>
    </w:p>
    <w:p w:rsidR="00D87CDE" w:rsidRDefault="00AC602F">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D87CDE" w:rsidRDefault="00D87CDE">
      <w:pPr>
        <w:pStyle w:val="ProductList-Body"/>
      </w:pPr>
    </w:p>
    <w:p w:rsidR="00D87CDE" w:rsidRDefault="00AC602F">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D87CDE" w:rsidRDefault="00D87CDE">
      <w:pPr>
        <w:pStyle w:val="ProductList-Body"/>
      </w:pPr>
    </w:p>
    <w:p w:rsidR="00D87CDE" w:rsidRDefault="00AC602F">
      <w:pPr>
        <w:pStyle w:val="ProductList-SubClauseHeading"/>
        <w:outlineLvl w:val="3"/>
      </w:pPr>
      <w:r>
        <w:t>Atribuições de Incidentes de Suporte Telefónico</w:t>
      </w:r>
    </w:p>
    <w:p w:rsidR="00D87CDE" w:rsidRDefault="00AC602F">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D87CD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IW/Cliente - Incrementos de Atribuições de Incidentes</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$200,000</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300,000</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270,000</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 Fr. 330,000</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CRC 1.650.000</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kr 1.600.000</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215,000</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£135,000</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JPY 24.000.000</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KWD 240.000.000</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kr 1.650.000</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350,000</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kr 2.000.000</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NTD 7.000.000</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INR 10.000.000</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RUB 6.600.000</w:t>
            </w:r>
          </w:p>
        </w:tc>
      </w:tr>
    </w:tbl>
    <w:p w:rsidR="00D87CDE" w:rsidRDefault="00D87CDE">
      <w:pPr>
        <w:pStyle w:val="ProductList-BodyIndented"/>
        <w:ind w:left="720"/>
      </w:pPr>
    </w:p>
    <w:p w:rsidR="00D87CDE" w:rsidRDefault="00AC602F">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D87CDE" w:rsidRDefault="00D87CDE">
      <w:pPr>
        <w:pStyle w:val="ProductList-BodyIndented"/>
      </w:pPr>
    </w:p>
    <w:p w:rsidR="00D87CDE" w:rsidRDefault="00AC602F">
      <w:pPr>
        <w:pStyle w:val="ProductList-BodyIndented"/>
      </w:pPr>
      <w:r>
        <w:t xml:space="preserve">O acesso a suporte telefónico local está disponível durante as horas de expediente através do Web site </w:t>
      </w:r>
      <w:hyperlink r:id="rId137">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D87CDE" w:rsidRDefault="00D87CDE">
      <w:pPr>
        <w:pStyle w:val="ProductList-BodyIndented"/>
        <w:ind w:left="720"/>
      </w:pPr>
    </w:p>
    <w:p w:rsidR="00D87CDE" w:rsidRDefault="00AC602F">
      <w:pPr>
        <w:pStyle w:val="ProductList-SubClauseHeading"/>
        <w:outlineLvl w:val="3"/>
      </w:pPr>
      <w:r>
        <w:t>Incidentes Baseados na Internet</w:t>
      </w:r>
    </w:p>
    <w:p w:rsidR="00D87CDE" w:rsidRDefault="00AC602F">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D87CDE" w:rsidRDefault="00D87CDE">
      <w:pPr>
        <w:pStyle w:val="ProductList-BodyIndented"/>
      </w:pPr>
    </w:p>
    <w:p w:rsidR="00D87CDE" w:rsidRDefault="00AC602F">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D87CDE" w:rsidRDefault="00D87CDE">
      <w:pPr>
        <w:pStyle w:val="ProductList-BodyIndented"/>
        <w:ind w:left="720"/>
      </w:pPr>
    </w:p>
    <w:p w:rsidR="00D87CDE" w:rsidRDefault="00AC602F">
      <w:pPr>
        <w:pStyle w:val="ProductList-SubClauseHeading"/>
        <w:outlineLvl w:val="3"/>
      </w:pPr>
      <w:r>
        <w:t>Contactos de Suporte</w:t>
      </w:r>
    </w:p>
    <w:p w:rsidR="00D87CDE" w:rsidRDefault="00AC602F">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D87CD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S/S+: EA Nível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S/S+: EA Nível D</w:t>
            </w:r>
          </w:p>
        </w:tc>
      </w:tr>
      <w:tr w:rsidR="00D87CDE">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Conforme Necessário</w:t>
            </w:r>
          </w:p>
        </w:tc>
      </w:tr>
      <w:tr w:rsidR="00D87CDE">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16</w:t>
            </w:r>
          </w:p>
        </w:tc>
      </w:tr>
    </w:tbl>
    <w:p w:rsidR="00D87CDE" w:rsidRDefault="00D87CDE">
      <w:pPr>
        <w:pStyle w:val="ProductList-BodyIndented"/>
      </w:pPr>
    </w:p>
    <w:p w:rsidR="00D87CDE" w:rsidRDefault="00AC602F">
      <w:pPr>
        <w:pStyle w:val="ProductList-SubClauseHeading"/>
        <w:outlineLvl w:val="3"/>
      </w:pPr>
      <w:r>
        <w:t>Nível de Serviço para Clientes de Software Assurance</w:t>
      </w:r>
    </w:p>
    <w:p w:rsidR="00D87CDE" w:rsidRDefault="00AC602F">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D87CD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Resposta Esperada do Cliente</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Impacto empresarial crítico: </w:t>
            </w:r>
          </w:p>
          <w:p w:rsidR="00D87CDE" w:rsidRDefault="00AC602F">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Primeiro telefonema de resposta no prazo de 2 horas ou menos com base na oferta de suporte</w:t>
            </w:r>
          </w:p>
          <w:p w:rsidR="00D87CDE" w:rsidRDefault="00AC602F">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Alocação de recursos adequados para manter um esforço contínuo numa base 24x72</w:t>
            </w:r>
          </w:p>
          <w:p w:rsidR="00D87CDE" w:rsidRDefault="00AC602F">
            <w:pPr>
              <w:pStyle w:val="ProductList-TableBody"/>
            </w:pPr>
            <w:r>
              <w:t>Acesso e resposta rápidos da autoridade de controlo de alterações</w:t>
            </w:r>
          </w:p>
          <w:p w:rsidR="00D87CDE" w:rsidRDefault="00AC602F">
            <w:pPr>
              <w:pStyle w:val="ProductList-TableBody"/>
            </w:pPr>
            <w:r>
              <w:t>Notificação à gestão</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Impacto empresarial moderado: </w:t>
            </w:r>
          </w:p>
          <w:p w:rsidR="00D87CDE" w:rsidRDefault="00AC602F">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Primeiro telefonema de resposta no prazo de 4 horas ou menos com base na oferta de suporte</w:t>
            </w:r>
          </w:p>
          <w:p w:rsidR="00D87CDE" w:rsidRDefault="00AC602F">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Alocação de recursos adequados para manter um esforço contínuo durante as Horas de Expediente</w:t>
            </w:r>
          </w:p>
          <w:p w:rsidR="00D87CDE" w:rsidRDefault="00AC602F">
            <w:pPr>
              <w:pStyle w:val="ProductList-TableBody"/>
            </w:pPr>
            <w:r>
              <w:t>Acesso e resposta da autoridade de controlo de Alterações no prazo de 4 Horas de Expediente</w:t>
            </w:r>
          </w:p>
        </w:tc>
      </w:tr>
      <w:tr w:rsidR="00D87CDE">
        <w:tc>
          <w:tcPr>
            <w:tcW w:w="29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Impacto empresarial mínimo: </w:t>
            </w:r>
          </w:p>
          <w:p w:rsidR="00D87CDE" w:rsidRDefault="00AC602F">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Primeiro telefonema de resposta no prazo de um dia útil ou menos com base na oferta de suporte</w:t>
            </w:r>
          </w:p>
          <w:p w:rsidR="00D87CDE" w:rsidRDefault="00AC602F">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Informação precisa da pessoa de contacto para o caso específico</w:t>
            </w:r>
          </w:p>
          <w:p w:rsidR="00D87CDE" w:rsidRDefault="00AC602F">
            <w:pPr>
              <w:pStyle w:val="ProductList-TableBody"/>
            </w:pPr>
            <w:r>
              <w:t>Resposta no prazo de um dia útil.</w:t>
            </w:r>
          </w:p>
        </w:tc>
      </w:tr>
    </w:tbl>
    <w:p w:rsidR="00D87CDE" w:rsidRDefault="00AC602F">
      <w:pPr>
        <w:pStyle w:val="ProductList-BodyIndented"/>
      </w:pPr>
      <w:r>
        <w:rPr>
          <w:i/>
        </w:rPr>
        <w:t>1 Contacte o representante da Microsoft durante as horas de expediente locais.</w:t>
      </w:r>
    </w:p>
    <w:p w:rsidR="00D87CDE" w:rsidRDefault="00AC602F">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D87CDE" w:rsidRDefault="00D87CDE">
      <w:pPr>
        <w:pStyle w:val="ProductList-BodyIndented"/>
        <w:ind w:left="720"/>
      </w:pPr>
    </w:p>
    <w:p w:rsidR="00D87CDE" w:rsidRDefault="00AC602F">
      <w:pPr>
        <w:pStyle w:val="ProductList-SubClauseHeading"/>
        <w:outlineLvl w:val="3"/>
      </w:pPr>
      <w:r>
        <w:t>Conversão dos Incidentes de Suporte 24x7 à Resolução de Problemas de Software Assurance em Serviços de Suporte Premier</w:t>
      </w:r>
    </w:p>
    <w:p w:rsidR="00D87CDE" w:rsidRDefault="00AC602F">
      <w:pPr>
        <w:pStyle w:val="ProductList-BodyIndented"/>
      </w:pPr>
      <w:r>
        <w:t>Os clientes poderão converter os Incidentes de Suporte 24x7 à Resolução de Problemas de SA (Incidentes de PRS de SA ou “SAB”) em horas de Suporte à Resolução de Problemas Premier (PRS) ou horas de Engenheiro de Suporte Dedicado (DSE) (aplicáveis apenas para atividades de suporte reativo).</w:t>
      </w:r>
    </w:p>
    <w:p w:rsidR="00D87CDE" w:rsidRDefault="00D87CDE">
      <w:pPr>
        <w:pStyle w:val="ProductList-BodyIndented"/>
      </w:pPr>
    </w:p>
    <w:p w:rsidR="00D87CDE" w:rsidRDefault="00AC602F">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D87CDE" w:rsidRDefault="00D87CDE">
      <w:pPr>
        <w:pStyle w:val="ProductList-BodyIndented"/>
        <w:ind w:left="720"/>
      </w:pPr>
    </w:p>
    <w:p w:rsidR="00D87CDE" w:rsidRDefault="00AC602F">
      <w:pPr>
        <w:pStyle w:val="ProductList-SubClauseHeading"/>
        <w:outlineLvl w:val="3"/>
      </w:pPr>
      <w:r>
        <w:t>Disposições Comerciais Adicionais</w:t>
      </w:r>
    </w:p>
    <w:p w:rsidR="00D87CDE" w:rsidRDefault="00AC602F">
      <w:pPr>
        <w:pStyle w:val="ProductList-BodyIndented"/>
      </w:pPr>
      <w:r>
        <w:t>Os gastos de SA não poderão ser combinados entre Inscrições Select ou Enterprise, registos Select Plus ou Contratos Open Value para se qualificar para atribuições adicionais. Os gastos em cada inscrição ou contrato serão utilizados para determinar a atribuição para essa inscrição ou contrato.</w:t>
      </w:r>
    </w:p>
    <w:p w:rsidR="00D87CDE" w:rsidRDefault="00D87CDE">
      <w:pPr>
        <w:pStyle w:val="ProductList-BodyIndented"/>
      </w:pPr>
    </w:p>
    <w:p w:rsidR="00D87CDE" w:rsidRDefault="00AC602F">
      <w:pPr>
        <w:pStyle w:val="ProductList-BodyIndented"/>
      </w:pPr>
      <w:r>
        <w:t xml:space="preserve">A redução dos gastos de SA como resultado de devoluções e outros ajustamentos na faturação, se forem permitidos, poderá resultar na perda da elegibilidade do suporte ou atribuições de incidentes por telefone durante os períodos de atribuição presentes ou futuros. </w:t>
      </w:r>
    </w:p>
    <w:p w:rsidR="00D87CDE" w:rsidRDefault="00D87CDE">
      <w:pPr>
        <w:pStyle w:val="ProductList-BodyIndented"/>
        <w:ind w:left="720"/>
      </w:pPr>
    </w:p>
    <w:p w:rsidR="00D87CDE" w:rsidRDefault="00AC602F">
      <w:pPr>
        <w:pStyle w:val="ProductList-SubClauseHeading"/>
        <w:outlineLvl w:val="3"/>
      </w:pPr>
      <w:r>
        <w:t>Suporte Ilimitado 24x7 à Resolução de Problemas</w:t>
      </w:r>
    </w:p>
    <w:p w:rsidR="00D87CDE" w:rsidRDefault="00AC602F">
      <w:pPr>
        <w:pStyle w:val="ProductList-BodyIndented"/>
      </w:pPr>
      <w:r>
        <w:t>Este benefício só está disponível através de (1) Enrollment for Application Platform (EAP) para um Contrato Enterprise e/ou (2) Inscrição Servidor e Nuvem (SCE) para um Contrato Enterprise e/ou (3) com a aquisição de licenças para Parallel Data Warehouse (PDW) através de EA, EAP, Select Plus ou Select.</w:t>
      </w:r>
    </w:p>
    <w:p w:rsidR="00D87CDE" w:rsidRDefault="00D87CDE">
      <w:pPr>
        <w:pStyle w:val="ProductList-BodyIndented"/>
        <w:ind w:left="720"/>
      </w:pPr>
    </w:p>
    <w:p w:rsidR="00D87CDE" w:rsidRDefault="00AC602F">
      <w:pPr>
        <w:pStyle w:val="ProductList-SubClauseHeading"/>
        <w:outlineLvl w:val="3"/>
      </w:pPr>
      <w:r>
        <w:t>Elegibilidade da SCE</w:t>
      </w:r>
    </w:p>
    <w:p w:rsidR="00D87CDE" w:rsidRDefault="00AC602F">
      <w:pPr>
        <w:pStyle w:val="ProductList-BodyIndented"/>
      </w:pPr>
      <w:r>
        <w:t>Os clientes que têm uma SCE com uma média mínima anual de gastos de SA de 250.000 dólares americanos num total de produtos qualificáveis na Plataforma de Aplicações ou Core Infrastructure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D87CDE" w:rsidRDefault="00D87CDE">
      <w:pPr>
        <w:pStyle w:val="ProductList-BodyIndented"/>
      </w:pPr>
    </w:p>
    <w:p w:rsidR="00D87CDE" w:rsidRDefault="00AC602F">
      <w:pPr>
        <w:pStyle w:val="ProductList-BodyIndented"/>
      </w:pPr>
      <w:r>
        <w:t>Os Produto de Plataforma de Aplicações qualificáveis são:</w:t>
      </w:r>
    </w:p>
    <w:p w:rsidR="00D87CDE" w:rsidRDefault="00AC602F" w:rsidP="00AC602F">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D87CDE" w:rsidRDefault="00AC602F" w:rsidP="00AC602F">
      <w:pPr>
        <w:pStyle w:val="ProductList-Bullet"/>
        <w:numPr>
          <w:ilvl w:val="1"/>
          <w:numId w:val="38"/>
        </w:numPr>
      </w:pPr>
      <w:r>
        <w:t>BizTalk Server</w:t>
      </w:r>
      <w:r>
        <w:fldChar w:fldCharType="begin"/>
      </w:r>
      <w:r>
        <w:instrText xml:space="preserve"> XE "BizTalk Server" </w:instrText>
      </w:r>
      <w:r>
        <w:fldChar w:fldCharType="end"/>
      </w:r>
      <w:r>
        <w:t xml:space="preserve"> (Standard, Enterprise e Branch)</w:t>
      </w:r>
    </w:p>
    <w:p w:rsidR="00D87CDE" w:rsidRDefault="00AC602F" w:rsidP="00AC602F">
      <w:pPr>
        <w:pStyle w:val="ProductList-Bullet"/>
        <w:numPr>
          <w:ilvl w:val="1"/>
          <w:numId w:val="38"/>
        </w:numPr>
      </w:pPr>
      <w:r>
        <w:t>Office SharePoint Server</w:t>
      </w:r>
      <w:r>
        <w:fldChar w:fldCharType="begin"/>
      </w:r>
      <w:r>
        <w:instrText xml:space="preserve"> XE "SharePoint Server" </w:instrText>
      </w:r>
      <w:r>
        <w:fldChar w:fldCharType="end"/>
      </w:r>
    </w:p>
    <w:p w:rsidR="00D87CDE" w:rsidRDefault="00AC602F">
      <w:pPr>
        <w:pStyle w:val="ProductList-BodyIndented"/>
      </w:pPr>
      <w:r>
        <w:t>Os produtos qualificáveis do Componente Core Infrastructure são:</w:t>
      </w:r>
    </w:p>
    <w:p w:rsidR="00D87CDE" w:rsidRDefault="00AC602F" w:rsidP="00AC602F">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D87CDE" w:rsidRDefault="00AC602F" w:rsidP="00AC602F">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D87CDE" w:rsidRDefault="00D87CDE">
      <w:pPr>
        <w:pStyle w:val="ProductList-BodyIndented"/>
      </w:pPr>
    </w:p>
    <w:p w:rsidR="00D87CDE" w:rsidRDefault="00AC602F">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Média Mínima Anual de Gastos de SA para se qualificar para Suporte Ilimitado 24x7 PRS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250,000</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375,000</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337,500</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412,500</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2,062,500</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2,000,000</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268,750</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168,750</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30,000,000</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300,000,000</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2,062,500</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437,500</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2,500,000</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8,750,000</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12,500,000</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8,250,000</w:t>
            </w:r>
          </w:p>
        </w:tc>
      </w:tr>
    </w:tbl>
    <w:p w:rsidR="00D87CDE" w:rsidRDefault="00D87CDE">
      <w:pPr>
        <w:pStyle w:val="ProductList-BodyIndented"/>
        <w:ind w:left="720"/>
      </w:pPr>
    </w:p>
    <w:p w:rsidR="00D87CDE" w:rsidRDefault="00AC602F">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D87CDE" w:rsidRDefault="00D87CDE">
      <w:pPr>
        <w:pStyle w:val="ProductList-BodyIndented"/>
        <w:ind w:left="720"/>
      </w:pPr>
    </w:p>
    <w:p w:rsidR="00D87CDE" w:rsidRDefault="00AC602F">
      <w:pPr>
        <w:pStyle w:val="ProductList-SubClauseHeading"/>
        <w:outlineLvl w:val="3"/>
      </w:pPr>
      <w:r>
        <w:t>Elegibilidade de Parallel Data Warehouse</w:t>
      </w:r>
    </w:p>
    <w:p w:rsidR="00D87CDE" w:rsidRDefault="00AC602F">
      <w:pPr>
        <w:pStyle w:val="ProductList-BodyIndented"/>
      </w:pPr>
      <w:r>
        <w:t>Os clientes que adquiram licenças para Parallel Data Warehouse</w:t>
      </w:r>
      <w:r>
        <w:fldChar w:fldCharType="begin"/>
      </w:r>
      <w:r>
        <w:instrText xml:space="preserve"> XE "Parallel Data Warehouse" </w:instrText>
      </w:r>
      <w:r>
        <w:fldChar w:fldCharType="end"/>
      </w:r>
      <w:r>
        <w:t xml:space="preserve"> (“PDW”) e que tenham um Contrato de Serviços Premier ativo são elegíveis para incidentes de Suporte Ilimitado 24x7 PRS, independentemente de estarem inscritos numa SCE ou dos respetivos gastos de SCE. Quando os clientes adquirem licenças para PDW, a Microsoft não atribuirá incidentes com base nos gastos de SA reais neste produto. </w:t>
      </w:r>
    </w:p>
    <w:p w:rsidR="00D87CDE" w:rsidRDefault="00D87CDE">
      <w:pPr>
        <w:pStyle w:val="ProductList-BodyIndented"/>
      </w:pPr>
    </w:p>
    <w:p w:rsidR="00D87CDE" w:rsidRDefault="00AC602F">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D87CDE" w:rsidRDefault="00D87CDE">
      <w:pPr>
        <w:pStyle w:val="ProductList-BodyIndented"/>
      </w:pPr>
    </w:p>
    <w:p w:rsidR="00D87CDE" w:rsidRDefault="00AC602F">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D87C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Contactos de suporte permitidos</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4</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5</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6</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7</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8</w:t>
            </w:r>
          </w:p>
        </w:tc>
      </w:tr>
    </w:tbl>
    <w:p w:rsidR="00D87CDE" w:rsidRDefault="00D87CDE">
      <w:pPr>
        <w:pStyle w:val="ProductList-BodyIndented"/>
      </w:pPr>
    </w:p>
    <w:p w:rsidR="00D87CDE" w:rsidRDefault="00AC602F">
      <w:pPr>
        <w:pStyle w:val="ProductList-BodyIndented"/>
      </w:pPr>
      <w:r>
        <w:t>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D87CDE" w:rsidRDefault="00D87CDE">
      <w:pPr>
        <w:pStyle w:val="ProductList-BodyIndented"/>
      </w:pPr>
    </w:p>
    <w:p w:rsidR="00D87CDE" w:rsidRDefault="00AC602F">
      <w:pPr>
        <w:pStyle w:val="ProductList-ClauseHeading"/>
        <w:outlineLvl w:val="2"/>
      </w:pPr>
      <w:bookmarkStart w:id="398" w:name="_Sec586"/>
      <w:r>
        <w:t>Extended HotFix Support</w:t>
      </w:r>
      <w:bookmarkEnd w:id="398"/>
    </w:p>
    <w:p w:rsidR="00D87CDE" w:rsidRDefault="00AC602F">
      <w:pPr>
        <w:pStyle w:val="ProductList-Body"/>
      </w:pPr>
      <w:r>
        <w:t>O Extended Hotfix Support está disponível aos clientes que tenham assinado um contrato de Suporte Premier ou Essential e que tenham adquirido cobertura SA ao abrigo dos seguintes programas:</w:t>
      </w:r>
    </w:p>
    <w:p w:rsidR="00D87CDE" w:rsidRDefault="00AC602F" w:rsidP="00AC602F">
      <w:pPr>
        <w:pStyle w:val="ProductList-Bullet"/>
        <w:numPr>
          <w:ilvl w:val="0"/>
          <w:numId w:val="40"/>
        </w:numPr>
      </w:pPr>
      <w:r>
        <w:t xml:space="preserve">Os clientes (que não os clientes de Academic Select, Select Plus for Academic e Contrato Campus e School e Open Value Subscription – Education Solutions) com cobertura SAM para Conjunto Aplicacional qualificam-se para o Extended Hotfix Support para produtos de Conjunto Aplicacional. </w:t>
      </w:r>
    </w:p>
    <w:p w:rsidR="00D87CDE" w:rsidRDefault="00AC602F" w:rsidP="00AC602F">
      <w:pPr>
        <w:pStyle w:val="ProductList-Bullet"/>
        <w:numPr>
          <w:ilvl w:val="0"/>
          <w:numId w:val="40"/>
        </w:numPr>
      </w:pPr>
      <w:r>
        <w:t>Os clientes (que não os clientes de Academic Select, Select Plus for Academic e Contrato Campus e School e Open Value Subscription – Education Solutions) com cobertura SAM para Conjunto de Sistemas qualificam-se para o Extended Hotfix Support para o sistema operativo de estação de trabalho Windows e/ou sistema operativo Windows Embedded (com cobertura SAM num produto Windows Embedded).</w:t>
      </w:r>
    </w:p>
    <w:p w:rsidR="00D87CDE" w:rsidRDefault="00AC602F" w:rsidP="00AC602F">
      <w:pPr>
        <w:pStyle w:val="ProductList-Bullet"/>
        <w:numPr>
          <w:ilvl w:val="0"/>
          <w:numId w:val="40"/>
        </w:numPr>
      </w:pPr>
      <w:r>
        <w:t>Os clientes (que não os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D87CDE" w:rsidRDefault="00D87CDE">
      <w:pPr>
        <w:pStyle w:val="ProductList-Body"/>
      </w:pPr>
    </w:p>
    <w:p w:rsidR="00D87CDE" w:rsidRDefault="00AC602F">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D87CDE" w:rsidRDefault="00D87CDE">
      <w:pPr>
        <w:pStyle w:val="PURBreadcrumb"/>
      </w:pPr>
    </w:p>
    <w:p w:rsidR="00D87CDE" w:rsidRDefault="00AC602F">
      <w:pPr>
        <w:pStyle w:val="ProductList-ClauseHeading"/>
        <w:outlineLvl w:val="2"/>
      </w:pPr>
      <w:bookmarkStart w:id="399" w:name="_Sec587"/>
      <w:r>
        <w:t>Disponibilidade de Licença de Atualização “Step-up”</w:t>
      </w:r>
      <w:bookmarkEnd w:id="399"/>
    </w:p>
    <w:p w:rsidR="00D87CDE" w:rsidRDefault="00AC602F">
      <w:pPr>
        <w:pStyle w:val="ProductList-Body"/>
      </w:pPr>
      <w:r>
        <w:t xml:space="preserve">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w:t>
      </w:r>
      <w:r>
        <w:rPr>
          <w:u w:val="single"/>
        </w:rPr>
        <w:t>Atualização “Step-up”</w:t>
      </w:r>
      <w:r>
        <w:t xml:space="preserve"> para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87C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Atualização “Step-up” para</w:t>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BizTalk Server Standard</w:t>
            </w:r>
            <w:r>
              <w:fldChar w:fldCharType="begin"/>
            </w:r>
            <w:r>
              <w:instrText xml:space="preserve"> XE "BizTalk Server Standard" </w:instrText>
            </w:r>
            <w:r>
              <w:fldChar w:fldCharType="end"/>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BizTalk Server Enterprise</w:t>
            </w:r>
            <w:r>
              <w:fldChar w:fldCharType="begin"/>
            </w:r>
            <w:r>
              <w:instrText xml:space="preserve"> XE "BizTalk Server Enterprise" </w:instrText>
            </w:r>
            <w:r>
              <w:fldChar w:fldCharType="end"/>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BizTalk Server Enterprise</w:t>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Enterprise CAL</w:t>
            </w:r>
            <w:r>
              <w:fldChar w:fldCharType="begin"/>
            </w:r>
            <w:r>
              <w:instrText xml:space="preserve"> XE "Enterprise CAL" </w:instrText>
            </w:r>
            <w:r>
              <w:fldChar w:fldCharType="end"/>
            </w:r>
            <w:r>
              <w:t xml:space="preserve"> Suite</w:t>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Core Infrastructure Server Suite Datacenter</w:t>
            </w:r>
            <w:r>
              <w:fldChar w:fldCharType="begin"/>
            </w:r>
            <w:r>
              <w:instrText xml:space="preserve"> XE "Core Infrastructure Server Suite Datacenter" </w:instrText>
            </w:r>
            <w:r>
              <w:fldChar w:fldCharType="end"/>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Estação de Trabalho para Educação c/ Enterprise CAL Suite</w:t>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Estação de Trabalho para Escolas c/ Enterprise CAL Suite</w:t>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Exchange Server Enterprise</w:t>
            </w:r>
            <w:r>
              <w:fldChar w:fldCharType="begin"/>
            </w:r>
            <w:r>
              <w:instrText xml:space="preserve"> XE "Exchange Server Enterprise" </w:instrText>
            </w:r>
            <w:r>
              <w:fldChar w:fldCharType="end"/>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Forefront TMG Enterprise</w:t>
            </w:r>
            <w:r>
              <w:fldChar w:fldCharType="begin"/>
            </w:r>
            <w:r>
              <w:instrText xml:space="preserve"> XE "Forefront TMG Enterprise" </w:instrText>
            </w:r>
            <w:r>
              <w:fldChar w:fldCharType="end"/>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Dynamics CRM Server</w:t>
            </w:r>
            <w:r>
              <w:fldChar w:fldCharType="begin"/>
            </w:r>
            <w:r>
              <w:instrText xml:space="preserve"> XE "Microsoft Dynamics CRM Server" </w:instrText>
            </w:r>
            <w:r>
              <w:fldChar w:fldCharType="end"/>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Office Professional Plus</w:t>
            </w:r>
            <w:r>
              <w:fldChar w:fldCharType="begin"/>
            </w:r>
            <w:r>
              <w:instrText xml:space="preserve"> XE "Office Professional Plus" </w:instrText>
            </w:r>
            <w:r>
              <w:fldChar w:fldCharType="end"/>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Estação de Trabalho Enterprise</w:t>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Project Professional</w:t>
            </w:r>
            <w:r>
              <w:fldChar w:fldCharType="begin"/>
            </w:r>
            <w:r>
              <w:instrText xml:space="preserve"> XE "Project Professional" </w:instrText>
            </w:r>
            <w:r>
              <w:fldChar w:fldCharType="end"/>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Enterprise Core</w:t>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Enterprise</w:t>
            </w:r>
            <w:r>
              <w:fldChar w:fldCharType="begin"/>
            </w:r>
            <w:r>
              <w:instrText xml:space="preserve"> XE "SQL Server Enterprise" </w:instrText>
            </w:r>
            <w:r>
              <w:fldChar w:fldCharType="end"/>
            </w:r>
            <w:r>
              <w:t xml:space="preserve"> Core</w:t>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 Business Intelligence</w:t>
            </w:r>
            <w:r>
              <w:fldChar w:fldCharType="begin"/>
            </w:r>
            <w:r>
              <w:instrText xml:space="preserve"> XE "SQL Server Business Intelligence" </w:instrText>
            </w:r>
            <w:r>
              <w:fldChar w:fldCharType="end"/>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System Center Datacenter</w:t>
            </w:r>
            <w:r>
              <w:fldChar w:fldCharType="begin"/>
            </w:r>
            <w:r>
              <w:instrText xml:space="preserve"> XE "System Center Datacenter" </w:instrText>
            </w:r>
            <w:r>
              <w:fldChar w:fldCharType="end"/>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Visio Professional</w:t>
            </w:r>
            <w:r>
              <w:fldChar w:fldCharType="begin"/>
            </w:r>
            <w:r>
              <w:instrText xml:space="preserve"> XE "Visio Professional" </w:instrText>
            </w:r>
            <w:r>
              <w:fldChar w:fldCharType="end"/>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Visual Studio Enterprise com MSDN</w:t>
            </w:r>
            <w:r>
              <w:fldChar w:fldCharType="begin"/>
            </w:r>
            <w:r>
              <w:instrText xml:space="preserve"> XE "Visual Studio Enterprise com MSDN" </w:instrText>
            </w:r>
            <w:r>
              <w:fldChar w:fldCharType="end"/>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Visual Studio Enterprise com MSDN</w:t>
            </w:r>
            <w:r>
              <w:fldChar w:fldCharType="begin"/>
            </w:r>
            <w:r>
              <w:instrText xml:space="preserve"> XE "Visual Studio Enterprise com MSDN" </w:instrText>
            </w:r>
            <w:r>
              <w:fldChar w:fldCharType="end"/>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Server Datacenter</w:t>
            </w:r>
            <w:r>
              <w:fldChar w:fldCharType="begin"/>
            </w:r>
            <w:r>
              <w:instrText xml:space="preserve"> XE "Windows Server Datacenter" </w:instrText>
            </w:r>
            <w:r>
              <w:fldChar w:fldCharType="end"/>
            </w:r>
          </w:p>
        </w:tc>
      </w:tr>
      <w:tr w:rsidR="00D87CDE">
        <w:tc>
          <w:tcPr>
            <w:tcW w:w="600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Windows MultiPoint Server Premium</w:t>
            </w:r>
            <w:r>
              <w:fldChar w:fldCharType="begin"/>
            </w:r>
            <w:r>
              <w:instrText xml:space="preserve"> XE "Windows MultiPoint Server Premium" </w:instrText>
            </w:r>
            <w:r>
              <w:fldChar w:fldCharType="end"/>
            </w:r>
          </w:p>
        </w:tc>
      </w:tr>
    </w:tbl>
    <w:p w:rsidR="00D87CDE" w:rsidRDefault="00D87CDE">
      <w:pPr>
        <w:pStyle w:val="ProductList-Body"/>
      </w:pPr>
    </w:p>
    <w:p w:rsidR="00D87CDE" w:rsidRDefault="00AC602F">
      <w:pPr>
        <w:pStyle w:val="ProductList-ClauseHeading"/>
        <w:outlineLvl w:val="2"/>
      </w:pPr>
      <w:bookmarkStart w:id="400" w:name="_Sec588"/>
      <w:r>
        <w:t>Servidores - Direitos de Recuperação após Desastre</w:t>
      </w:r>
      <w:bookmarkEnd w:id="400"/>
    </w:p>
    <w:p w:rsidR="00D87CDE" w:rsidRDefault="00AC602F">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D87CDE" w:rsidRDefault="00D87CDE">
      <w:pPr>
        <w:pStyle w:val="ProductList-Body"/>
      </w:pPr>
    </w:p>
    <w:p w:rsidR="00D87CDE" w:rsidRDefault="00AC602F">
      <w:pPr>
        <w:pStyle w:val="ProductList-Body"/>
      </w:pPr>
      <w:r>
        <w:t xml:space="preserve">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D87CDE" w:rsidRDefault="00AC602F" w:rsidP="00AC602F">
      <w:pPr>
        <w:pStyle w:val="ProductList-Bullet"/>
        <w:numPr>
          <w:ilvl w:val="0"/>
          <w:numId w:val="41"/>
        </w:numPr>
      </w:pPr>
      <w:r>
        <w:t>Por breves períodos de testes de recuperação após desastre numa semana de 90 dias em 90 dias;</w:t>
      </w:r>
    </w:p>
    <w:p w:rsidR="00D87CDE" w:rsidRDefault="00AC602F" w:rsidP="00AC602F">
      <w:pPr>
        <w:pStyle w:val="ProductList-Bullet"/>
        <w:numPr>
          <w:ilvl w:val="0"/>
          <w:numId w:val="41"/>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D87CDE" w:rsidRDefault="00AC602F" w:rsidP="00AC602F">
      <w:pPr>
        <w:pStyle w:val="ProductList-Bullet"/>
        <w:numPr>
          <w:ilvl w:val="0"/>
          <w:numId w:val="41"/>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D87CDE" w:rsidRDefault="00D87CDE">
      <w:pPr>
        <w:pStyle w:val="ProductList-Body"/>
      </w:pPr>
    </w:p>
    <w:p w:rsidR="00D87CDE" w:rsidRDefault="00AC602F">
      <w:pPr>
        <w:pStyle w:val="ProductList-Body"/>
      </w:pPr>
      <w:r>
        <w:t>Para utilizar o software ao abrigo dos direitos de recuperação após desastre, o Cliente deve cumprir os seguintes termos:</w:t>
      </w:r>
    </w:p>
    <w:p w:rsidR="00D87CDE" w:rsidRDefault="00AC602F" w:rsidP="00AC602F">
      <w:pPr>
        <w:pStyle w:val="ProductList-Bullet"/>
        <w:numPr>
          <w:ilvl w:val="0"/>
          <w:numId w:val="4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D87CDE" w:rsidRDefault="00AC602F" w:rsidP="00AC602F">
      <w:pPr>
        <w:pStyle w:val="ProductList-Bullet"/>
        <w:numPr>
          <w:ilvl w:val="0"/>
          <w:numId w:val="4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rsidR="00D87CDE" w:rsidRDefault="00AC602F" w:rsidP="00AC602F">
      <w:pPr>
        <w:pStyle w:val="ProductList-Bullet"/>
        <w:numPr>
          <w:ilvl w:val="0"/>
          <w:numId w:val="42"/>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rsidR="00D87CDE" w:rsidRDefault="00AC602F" w:rsidP="00AC602F">
      <w:pPr>
        <w:pStyle w:val="ProductList-Bullet"/>
        <w:numPr>
          <w:ilvl w:val="1"/>
          <w:numId w:val="42"/>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rsidR="00D87CDE" w:rsidRDefault="00AC602F" w:rsidP="00AC602F">
      <w:pPr>
        <w:pStyle w:val="ProductList-Bullet"/>
        <w:numPr>
          <w:ilvl w:val="1"/>
          <w:numId w:val="42"/>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D87CDE" w:rsidRDefault="00AC602F">
      <w:pPr>
        <w:pStyle w:val="ProductList-Body"/>
        <w:ind w:left="1080"/>
      </w:pPr>
      <w:r>
        <w:t>- executar software de virtualização de hardware, como o Hyper-V,</w:t>
      </w:r>
    </w:p>
    <w:p w:rsidR="00D87CDE" w:rsidRDefault="00AC602F">
      <w:pPr>
        <w:pStyle w:val="ProductList-Body"/>
        <w:ind w:left="1080"/>
      </w:pPr>
      <w:r>
        <w:t>- fornecer serviços de virtualização de hardware,</w:t>
      </w:r>
    </w:p>
    <w:p w:rsidR="00D87CDE" w:rsidRDefault="00AC602F">
      <w:pPr>
        <w:pStyle w:val="ProductList-Body"/>
        <w:ind w:left="1080"/>
      </w:pPr>
      <w:r>
        <w:t>- executar agentes de software para gerir o software de virtualização de hardware,</w:t>
      </w:r>
    </w:p>
    <w:p w:rsidR="00D87CDE" w:rsidRDefault="00AC602F">
      <w:pPr>
        <w:pStyle w:val="ProductList-Body"/>
        <w:ind w:left="1080"/>
      </w:pPr>
      <w:r>
        <w:t>- atuar como um destino para replicação,</w:t>
      </w:r>
    </w:p>
    <w:p w:rsidR="00D87CDE" w:rsidRDefault="00AC602F">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D87CDE" w:rsidRDefault="00AC602F">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D87CDE" w:rsidRDefault="00AC602F">
      <w:pPr>
        <w:pStyle w:val="ProductList-Body"/>
        <w:ind w:left="1080"/>
      </w:pPr>
      <w:r>
        <w:t xml:space="preserve">- executar cargas de trabalho de recuperação após desastre, tal como acima descrito. </w:t>
      </w:r>
    </w:p>
    <w:p w:rsidR="00D87CDE" w:rsidRDefault="00AC602F" w:rsidP="00AC602F">
      <w:pPr>
        <w:pStyle w:val="ProductList-Bullet"/>
        <w:numPr>
          <w:ilvl w:val="1"/>
          <w:numId w:val="43"/>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D87CDE" w:rsidRDefault="00AC602F" w:rsidP="00AC602F">
      <w:pPr>
        <w:pStyle w:val="ProductList-Bullet"/>
        <w:numPr>
          <w:ilvl w:val="0"/>
          <w:numId w:val="43"/>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rsidR="00D87CDE" w:rsidRDefault="00AC602F" w:rsidP="00AC602F">
      <w:pPr>
        <w:pStyle w:val="ProductList-Bullet"/>
        <w:numPr>
          <w:ilvl w:val="0"/>
          <w:numId w:val="43"/>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rsidR="00D87CDE" w:rsidRDefault="00AC602F" w:rsidP="00AC602F">
      <w:pPr>
        <w:pStyle w:val="ProductList-Bullet"/>
        <w:numPr>
          <w:ilvl w:val="0"/>
          <w:numId w:val="43"/>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rsidR="00D87CDE" w:rsidRDefault="00AC602F" w:rsidP="00AC602F">
      <w:pPr>
        <w:pStyle w:val="ProductList-Bullet"/>
        <w:numPr>
          <w:ilvl w:val="0"/>
          <w:numId w:val="43"/>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D87CDE" w:rsidRDefault="00D87CDE">
      <w:pPr>
        <w:pStyle w:val="ProductList-Body"/>
      </w:pPr>
    </w:p>
    <w:p w:rsidR="00D87CDE" w:rsidRDefault="00AC602F">
      <w:pPr>
        <w:pStyle w:val="ProductList-ClauseHeading"/>
        <w:outlineLvl w:val="2"/>
      </w:pPr>
      <w:bookmarkStart w:id="401" w:name="_Sec589"/>
      <w:r>
        <w:t>Mobilidade de Licenças</w:t>
      </w:r>
      <w:bookmarkEnd w:id="401"/>
    </w:p>
    <w:p w:rsidR="00D87CDE" w:rsidRDefault="00AC602F">
      <w:pPr>
        <w:pStyle w:val="ProductList-SubClauseHeading"/>
        <w:outlineLvl w:val="3"/>
      </w:pPr>
      <w:r>
        <w:t>Mobilidade de Licenças em Farms de Servidores</w:t>
      </w:r>
    </w:p>
    <w:p w:rsidR="00D87CDE" w:rsidRDefault="00AC602F">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designadas como tendo Mobilidade de Licenças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D87CDE" w:rsidRDefault="00D87CDE">
      <w:pPr>
        <w:pStyle w:val="ProductList-BodyIndented"/>
      </w:pPr>
    </w:p>
    <w:p w:rsidR="00D87CDE" w:rsidRDefault="00AC602F">
      <w:pPr>
        <w:pStyle w:val="ProductList-SubClauseHeading"/>
        <w:outlineLvl w:val="3"/>
      </w:pPr>
      <w:r>
        <w:t>Mobilidade de Licenças através do Software Assurance</w:t>
      </w:r>
    </w:p>
    <w:p w:rsidR="00D87CDE" w:rsidRDefault="00AC602F">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ao abrigo dos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D87CDE" w:rsidRDefault="00D87CDE">
      <w:pPr>
        <w:pStyle w:val="ProductList-BodyIndented"/>
      </w:pPr>
    </w:p>
    <w:p w:rsidR="00D87CDE" w:rsidRDefault="00AC602F">
      <w:pPr>
        <w:pStyle w:val="ProductList-SubSubClauseHeading"/>
        <w:outlineLvl w:val="4"/>
      </w:pPr>
      <w:r>
        <w:t>Utilização Permitida:</w:t>
      </w:r>
    </w:p>
    <w:p w:rsidR="00D87CDE" w:rsidRDefault="00AC602F">
      <w:pPr>
        <w:pStyle w:val="ProductList-BodyIndented2"/>
      </w:pPr>
      <w:r>
        <w:t>Com Mobilidade de Licenças através de SA, o Cliente poderá:</w:t>
      </w:r>
    </w:p>
    <w:p w:rsidR="00D87CDE" w:rsidRDefault="00AC602F" w:rsidP="00AC602F">
      <w:pPr>
        <w:pStyle w:val="ProductList-Bullet"/>
        <w:numPr>
          <w:ilvl w:val="2"/>
          <w:numId w:val="44"/>
        </w:numPr>
      </w:pPr>
      <w:r>
        <w:t xml:space="preserve">Executar o respetivo software licenciado em servidores partilhados; </w:t>
      </w:r>
    </w:p>
    <w:p w:rsidR="00D87CDE" w:rsidRDefault="00AC602F" w:rsidP="00AC602F">
      <w:pPr>
        <w:pStyle w:val="ProductList-Bullet"/>
        <w:numPr>
          <w:ilvl w:val="2"/>
          <w:numId w:val="44"/>
        </w:numPr>
      </w:pPr>
      <w:r>
        <w:t xml:space="preserve">Aceder a esse software ao abrigo de licenças de acesso e ao abrigo das respetivas SLs de Utilizador e Dispositivo que permitem o acesso aos Produtos; </w:t>
      </w:r>
    </w:p>
    <w:p w:rsidR="00D87CDE" w:rsidRDefault="00AC602F" w:rsidP="00AC602F">
      <w:pPr>
        <w:pStyle w:val="ProductList-Bullet"/>
        <w:numPr>
          <w:ilvl w:val="2"/>
          <w:numId w:val="44"/>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rsidR="00D87CDE" w:rsidRDefault="00AC602F" w:rsidP="00AC602F">
      <w:pPr>
        <w:pStyle w:val="ProductList-Bullet"/>
        <w:numPr>
          <w:ilvl w:val="2"/>
          <w:numId w:val="44"/>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D87CDE" w:rsidRDefault="00D87CDE">
      <w:pPr>
        <w:pStyle w:val="ProductList-BodyIndented2"/>
      </w:pPr>
    </w:p>
    <w:p w:rsidR="00D87CDE" w:rsidRDefault="00AC602F">
      <w:pPr>
        <w:pStyle w:val="ProductList-SubSubClauseHeading"/>
        <w:outlineLvl w:val="4"/>
      </w:pPr>
      <w:r>
        <w:t>Requisitos:</w:t>
      </w:r>
    </w:p>
    <w:p w:rsidR="00D87CDE" w:rsidRDefault="00AC602F">
      <w:pPr>
        <w:pStyle w:val="ProductList-BodyIndented2"/>
      </w:pPr>
      <w:r>
        <w:t>Para utilizar a Mobilidade de Licenças através do SA, o Cliente tem de:</w:t>
      </w:r>
    </w:p>
    <w:p w:rsidR="00D87CDE" w:rsidRDefault="00AC602F" w:rsidP="00AC602F">
      <w:pPr>
        <w:pStyle w:val="ProductList-Bullet"/>
        <w:numPr>
          <w:ilvl w:val="2"/>
          <w:numId w:val="45"/>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D87CDE" w:rsidRDefault="00AC602F" w:rsidP="00AC602F">
      <w:pPr>
        <w:pStyle w:val="ProductList-Bullet"/>
        <w:numPr>
          <w:ilvl w:val="2"/>
          <w:numId w:val="45"/>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D87CDE" w:rsidRDefault="00AC602F" w:rsidP="00AC602F">
      <w:pPr>
        <w:pStyle w:val="ProductList-Bullet"/>
        <w:numPr>
          <w:ilvl w:val="2"/>
          <w:numId w:val="45"/>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D87CDE" w:rsidRDefault="00D87CDE">
      <w:pPr>
        <w:pStyle w:val="ProductList-BodyIndented2"/>
      </w:pPr>
    </w:p>
    <w:p w:rsidR="00D87CDE" w:rsidRDefault="00AC602F">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7"/>
        <w:gridCol w:w="2539"/>
        <w:gridCol w:w="2492"/>
        <w:gridCol w:w="2482"/>
      </w:tblGrid>
      <w:tr w:rsidR="00D87CD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Número Permitido de:</w:t>
            </w:r>
          </w:p>
          <w:p w:rsidR="00D87CDE" w:rsidRDefault="00AC602F">
            <w:pPr>
              <w:pStyle w:val="ProductList-TableBody"/>
            </w:pPr>
            <w:r>
              <w:rPr>
                <w:color w:val="FFFFFF"/>
              </w:rPr>
              <w:t>OSEs ou Núcleos por Licença</w:t>
            </w:r>
          </w:p>
        </w:tc>
      </w:tr>
      <w:tr w:rsidR="00D87CDE">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 OSE por licença</w:t>
            </w:r>
          </w:p>
        </w:tc>
      </w:tr>
      <w:tr w:rsidR="00D87CDE">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 OSE por licença</w:t>
            </w:r>
          </w:p>
        </w:tc>
      </w:tr>
      <w:tr w:rsidR="00D87CDE">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Um núcleo virtual (sujeito aos direitos de utilização de produto, incluindo o requisito de um mínimo de 4 núcleos por OSE)</w:t>
            </w:r>
          </w:p>
        </w:tc>
      </w:tr>
      <w:tr w:rsidR="00D87CDE">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 OSEs geridos por licença</w:t>
            </w:r>
          </w:p>
        </w:tc>
      </w:tr>
      <w:tr w:rsidR="00D87CDE">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10 OSEs geridos por licença</w:t>
            </w:r>
          </w:p>
        </w:tc>
      </w:tr>
    </w:tbl>
    <w:p w:rsidR="00D87CDE" w:rsidRDefault="00D87CDE">
      <w:pPr>
        <w:pStyle w:val="ProductList-BodyIndented2"/>
      </w:pPr>
    </w:p>
    <w:p w:rsidR="00D87CDE" w:rsidRDefault="00AC602F">
      <w:pPr>
        <w:pStyle w:val="ProductList-SubSubClauseHeading"/>
        <w:outlineLvl w:val="4"/>
      </w:pPr>
      <w:r>
        <w:t>Direitos de Ativação Pós-falha</w:t>
      </w:r>
    </w:p>
    <w:p w:rsidR="00D87CDE" w:rsidRDefault="00AC602F">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D87CDE" w:rsidRDefault="00D87CDE">
      <w:pPr>
        <w:pStyle w:val="ProductList-BodyIndented2"/>
      </w:pPr>
    </w:p>
    <w:p w:rsidR="00D87CDE" w:rsidRDefault="00AC602F">
      <w:pPr>
        <w:pStyle w:val="ProductList-ClauseHeading"/>
        <w:outlineLvl w:val="2"/>
      </w:pPr>
      <w:bookmarkStart w:id="402" w:name="_Sec590"/>
      <w:r>
        <w:t>Servidores – Aplicações Alojadas Autónomas</w:t>
      </w:r>
      <w:bookmarkEnd w:id="402"/>
    </w:p>
    <w:p w:rsidR="00D87CDE" w:rsidRDefault="00AC602F">
      <w:pPr>
        <w:pStyle w:val="ProductList-Body"/>
      </w:pPr>
      <w:r>
        <w:t>As Aplicações Alojadas Autónomas designam os Produtos para os quais os direitos de Alojamento Autónomo se aplicam.</w:t>
      </w:r>
    </w:p>
    <w:p w:rsidR="00D87CDE" w:rsidRDefault="00D87CDE">
      <w:pPr>
        <w:pStyle w:val="ProductList-Body"/>
      </w:pPr>
    </w:p>
    <w:p w:rsidR="00D87CDE" w:rsidRDefault="00AC602F">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D87CDE" w:rsidRDefault="00D87CDE">
      <w:pPr>
        <w:pStyle w:val="ProductList-Body"/>
      </w:pPr>
    </w:p>
    <w:p w:rsidR="00D87CDE" w:rsidRDefault="00AC602F">
      <w:pPr>
        <w:pStyle w:val="ProductList-SubClauseHeading"/>
        <w:outlineLvl w:val="3"/>
      </w:pPr>
      <w:r>
        <w:t>Requisitos</w:t>
      </w:r>
    </w:p>
    <w:p w:rsidR="00D87CDE" w:rsidRDefault="00AC602F">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solicitadas para:</w:t>
      </w:r>
    </w:p>
    <w:p w:rsidR="00D87CDE" w:rsidRDefault="00AC602F" w:rsidP="00AC602F">
      <w:pPr>
        <w:pStyle w:val="ProductList-Bullet"/>
        <w:numPr>
          <w:ilvl w:val="1"/>
          <w:numId w:val="46"/>
        </w:numPr>
      </w:pPr>
      <w:r>
        <w:t>as Aplicações Alojadas Autónomas executadas como parte da Solução Unificada; e</w:t>
      </w:r>
    </w:p>
    <w:p w:rsidR="00D87CDE" w:rsidRDefault="00AC602F" w:rsidP="00AC602F">
      <w:pPr>
        <w:pStyle w:val="ProductList-Bullet"/>
        <w:numPr>
          <w:ilvl w:val="1"/>
          <w:numId w:val="46"/>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D87CDE" w:rsidRDefault="00AC602F">
      <w:pPr>
        <w:pStyle w:val="ProductList-BodyIndented"/>
      </w:pPr>
      <w:r>
        <w:t xml:space="preserve">Todo o software Microsoft utilizado para criar e fornecer a Solução Unificada tem de: </w:t>
      </w:r>
    </w:p>
    <w:p w:rsidR="00D87CDE" w:rsidRDefault="00AC602F" w:rsidP="00AC602F">
      <w:pPr>
        <w:pStyle w:val="ProductList-Bullet"/>
        <w:numPr>
          <w:ilvl w:val="1"/>
          <w:numId w:val="47"/>
        </w:numPr>
      </w:pPr>
      <w:r>
        <w:t>ser licenciado através de um programa de Licenciamento em Volume; e</w:t>
      </w:r>
    </w:p>
    <w:p w:rsidR="00D87CDE" w:rsidRDefault="00AC602F" w:rsidP="00AC602F">
      <w:pPr>
        <w:pStyle w:val="ProductList-Bullet"/>
        <w:numPr>
          <w:ilvl w:val="1"/>
          <w:numId w:val="47"/>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D87CDE" w:rsidRDefault="00D87CDE">
      <w:pPr>
        <w:pStyle w:val="ProductList-BodyIndented"/>
      </w:pPr>
    </w:p>
    <w:p w:rsidR="00D87CDE" w:rsidRDefault="00AC602F">
      <w:pPr>
        <w:pStyle w:val="ProductList-BodyIndented"/>
      </w:pPr>
      <w:r>
        <w:t>Se o Cliente fornecer a Solução Unificada a partir de servidores partilhados, o Cliente não poderá utilizar o Windows Server como Aplicação Alojada Autónoma;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D87CDE" w:rsidRDefault="00D87CDE">
      <w:pPr>
        <w:pStyle w:val="ProductList-BodyIndented"/>
      </w:pPr>
    </w:p>
    <w:p w:rsidR="00D87CDE" w:rsidRDefault="00AC602F">
      <w:pPr>
        <w:pStyle w:val="ProductList-BodyIndented"/>
      </w:pPr>
      <w:r>
        <w:t>O software do Cliente tem de:</w:t>
      </w:r>
    </w:p>
    <w:p w:rsidR="00D87CDE" w:rsidRDefault="00AC602F" w:rsidP="00AC602F">
      <w:pPr>
        <w:pStyle w:val="ProductList-Bullet"/>
        <w:numPr>
          <w:ilvl w:val="1"/>
          <w:numId w:val="48"/>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D87CDE" w:rsidRDefault="00AC602F" w:rsidP="00AC602F">
      <w:pPr>
        <w:pStyle w:val="ProductList-Bullet"/>
        <w:numPr>
          <w:ilvl w:val="1"/>
          <w:numId w:val="48"/>
        </w:numPr>
      </w:pPr>
      <w:r>
        <w:t>ser o serviço e/ou aplicação principal da Solução Unificada e não pode permitir o acesso direto às Aplicações Alojadas Autónomas por qualquer utilizador final da Solução Unificada;</w:t>
      </w:r>
    </w:p>
    <w:p w:rsidR="00D87CDE" w:rsidRDefault="00AC602F" w:rsidP="00AC602F">
      <w:pPr>
        <w:pStyle w:val="ProductList-Bullet"/>
        <w:numPr>
          <w:ilvl w:val="1"/>
          <w:numId w:val="48"/>
        </w:numPr>
      </w:pPr>
      <w:r>
        <w:t xml:space="preserve">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 </w:t>
      </w:r>
    </w:p>
    <w:p w:rsidR="00D87CDE" w:rsidRDefault="00AC602F" w:rsidP="00AC602F">
      <w:pPr>
        <w:pStyle w:val="ProductList-Bullet"/>
        <w:numPr>
          <w:ilvl w:val="1"/>
          <w:numId w:val="48"/>
        </w:numPr>
      </w:pPr>
      <w:r>
        <w:t>ser da propriedade, e não licenciado, mas o respetivo software pode incluir software de terceiros não substantivo incorporado ou que funcione em suporte, no respetivo software.</w:t>
      </w:r>
    </w:p>
    <w:p w:rsidR="00D87CDE" w:rsidRDefault="00D87CDE">
      <w:pPr>
        <w:pStyle w:val="ProductList-BodyIndented"/>
      </w:pPr>
    </w:p>
    <w:p w:rsidR="00D87CDE" w:rsidRDefault="00AC602F">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D87CDE" w:rsidRDefault="00D87CDE">
      <w:pPr>
        <w:pStyle w:val="ProductList-BodyIndented"/>
        <w:jc w:val="right"/>
      </w:pPr>
    </w:p>
    <w:tbl>
      <w:tblPr>
        <w:tblStyle w:val="PURTable0"/>
        <w:tblW w:w="0" w:type="dxa"/>
        <w:tblLook w:val="04A0" w:firstRow="1" w:lastRow="0" w:firstColumn="1" w:lastColumn="0" w:noHBand="0" w:noVBand="1"/>
      </w:tblPr>
      <w:tblGrid>
        <w:gridCol w:w="1044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Indented"/>
      </w:pPr>
    </w:p>
    <w:p w:rsidR="00D87CDE" w:rsidRDefault="00D87CDE">
      <w:pPr>
        <w:pStyle w:val="PURBreadcrumb"/>
      </w:pPr>
    </w:p>
    <w:p w:rsidR="00D87CDE" w:rsidRDefault="00AC602F">
      <w:pPr>
        <w:pStyle w:val="ProductList-SectionHeading"/>
        <w:pageBreakBefore/>
        <w:outlineLvl w:val="0"/>
      </w:pPr>
      <w:bookmarkStart w:id="403" w:name="_Sec562"/>
      <w:bookmarkEnd w:id="380"/>
      <w:r>
        <w:t>Apêndice C – Serviços Profissionais</w:t>
      </w:r>
      <w:r>
        <w:fldChar w:fldCharType="begin"/>
      </w:r>
      <w:r>
        <w:instrText xml:space="preserve"> TC "</w:instrText>
      </w:r>
      <w:bookmarkStart w:id="404" w:name="_Toc452110545"/>
      <w:r>
        <w:instrText>Apêndice C – Serviços Profissionais</w:instrText>
      </w:r>
      <w:bookmarkEnd w:id="404"/>
      <w:r>
        <w:instrText>" \l 1</w:instrText>
      </w:r>
      <w:r>
        <w:fldChar w:fldCharType="end"/>
      </w:r>
    </w:p>
    <w:p w:rsidR="00D87CDE" w:rsidRDefault="00AC602F">
      <w:pPr>
        <w:pStyle w:val="ProductList-Body"/>
      </w:pPr>
      <w:r>
        <w:t>Os Serviços Profissionais disponíveis através do Licenciamento em Volume da Microsoft são descritos abaixo.</w:t>
      </w:r>
    </w:p>
    <w:p w:rsidR="00D87CDE" w:rsidRDefault="00AC602F">
      <w:pPr>
        <w:pStyle w:val="ProductList-Offering1Heading"/>
        <w:outlineLvl w:val="1"/>
      </w:pPr>
      <w:bookmarkStart w:id="405" w:name="_Sec565"/>
      <w:r>
        <w:t>Ofertas de Suporte Microsoft Premier</w:t>
      </w:r>
      <w:bookmarkEnd w:id="405"/>
      <w:r>
        <w:fldChar w:fldCharType="begin"/>
      </w:r>
      <w:r>
        <w:instrText xml:space="preserve"> TC "</w:instrText>
      </w:r>
      <w:bookmarkStart w:id="406" w:name="_Toc452110546"/>
      <w:r>
        <w:instrText>Ofertas de Suporte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D87C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jc w:val="center"/>
            </w:pPr>
            <w:r>
              <w:rPr>
                <w:color w:val="FFFFFF"/>
              </w:rPr>
              <w:t>Premier Plus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Mensal</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Até 10 horas</w:t>
            </w:r>
          </w:p>
          <w:p w:rsidR="00D87CDE" w:rsidRDefault="00AC602F">
            <w:pPr>
              <w:pStyle w:val="ProductList-TableBody"/>
            </w:pPr>
            <w:r>
              <w:t>+1 Verificação do Funcionamento</w:t>
            </w:r>
          </w:p>
          <w:p w:rsidR="00D87CDE" w:rsidRDefault="00AC602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Até 160 horas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Até 140 horas</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jc w:val="center"/>
            </w:pPr>
            <w:r>
              <w:t>X</w:t>
            </w:r>
          </w:p>
        </w:tc>
      </w:tr>
      <w:tr w:rsidR="00D87CDE">
        <w:tc>
          <w:tcPr>
            <w:tcW w:w="404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Pacotes de 20</w:t>
            </w:r>
          </w:p>
        </w:tc>
      </w:tr>
    </w:tbl>
    <w:p w:rsidR="00D87CDE" w:rsidRDefault="00AC602F">
      <w:pPr>
        <w:pStyle w:val="ProductList-Body"/>
      </w:pPr>
      <w:r>
        <w:rPr>
          <w:vertAlign w:val="superscript"/>
        </w:rPr>
        <w:t xml:space="preserve">1 </w:t>
      </w:r>
      <w:r>
        <w:rPr>
          <w:i/>
        </w:rPr>
        <w:t>As Horas de Expediente são definidas localmente.</w:t>
      </w:r>
    </w:p>
    <w:p w:rsidR="00D87CDE" w:rsidRDefault="00D87CDE">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D87CD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Resposta Esperada do Cliente</w:t>
            </w:r>
          </w:p>
        </w:tc>
      </w:tr>
      <w:tr w:rsidR="00D87CDE">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Impacto empresarial catastrófico: </w:t>
            </w:r>
          </w:p>
          <w:p w:rsidR="00D87CDE" w:rsidRDefault="00AC602F">
            <w:pPr>
              <w:pStyle w:val="ProductList-TableBody"/>
            </w:pPr>
            <w:r>
              <w:t>Perda total de um processo empresarial principal (missão crítica) e o trabalho não pode continuar, em termos razoáveis</w:t>
            </w:r>
          </w:p>
          <w:p w:rsidR="00D87CDE" w:rsidRDefault="00AC602F">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1.º telefonema de resposta no prazo de uma hora ou menos</w:t>
            </w:r>
          </w:p>
          <w:p w:rsidR="00D87CDE" w:rsidRDefault="00AC602F">
            <w:pPr>
              <w:pStyle w:val="ProductList-TableBody"/>
            </w:pPr>
            <w:r>
              <w:t>Recursos da Microsoft nas instalações do cliente, assim que possível.</w:t>
            </w:r>
          </w:p>
          <w:p w:rsidR="00D87CDE" w:rsidRDefault="00AC602F">
            <w:pPr>
              <w:pStyle w:val="ProductList-TableBody"/>
            </w:pPr>
            <w:r>
              <w:t>Esforço contínuo numa base 24x7</w:t>
            </w:r>
          </w:p>
          <w:p w:rsidR="00D87CDE" w:rsidRDefault="00AC602F">
            <w:pPr>
              <w:pStyle w:val="ProductList-TableBody"/>
            </w:pPr>
            <w:r>
              <w:t>Escalamento Rápido na Microsoft para equipas de Produto</w:t>
            </w:r>
          </w:p>
          <w:p w:rsidR="00D87CDE" w:rsidRDefault="00AC602F">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Notificação dos Executivos Seniores do Cliente </w:t>
            </w:r>
          </w:p>
          <w:p w:rsidR="00D87CDE" w:rsidRDefault="00AC602F">
            <w:pPr>
              <w:pStyle w:val="ProductList-TableBody"/>
            </w:pPr>
            <w:r>
              <w:t>Alocação de recursos adequados para manter um esforço contínuo numa base 24x7</w:t>
            </w:r>
            <w:r>
              <w:rPr>
                <w:vertAlign w:val="superscript"/>
              </w:rPr>
              <w:t>2</w:t>
            </w:r>
          </w:p>
          <w:p w:rsidR="00D87CDE" w:rsidRDefault="00AC602F">
            <w:pPr>
              <w:pStyle w:val="ProductList-TableBody"/>
            </w:pPr>
            <w:r>
              <w:t>Acesso e resposta rápidos da autoridade de controlo de alterações</w:t>
            </w:r>
          </w:p>
        </w:tc>
      </w:tr>
      <w:tr w:rsidR="00D87CDE">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Impacto empresarial crítico: </w:t>
            </w:r>
          </w:p>
          <w:p w:rsidR="00D87CDE" w:rsidRDefault="00AC602F">
            <w:pPr>
              <w:pStyle w:val="ProductList-TableBody"/>
            </w:pPr>
            <w:r>
              <w:t>Perda ou degradação significativa dos serviços</w:t>
            </w:r>
          </w:p>
          <w:p w:rsidR="00D87CDE" w:rsidRDefault="00AC602F">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1.º telefonema de resposta no prazo de uma hora ou menos</w:t>
            </w:r>
          </w:p>
          <w:p w:rsidR="00D87CDE" w:rsidRDefault="00AC602F">
            <w:pPr>
              <w:pStyle w:val="ProductList-TableBody"/>
            </w:pPr>
            <w:r>
              <w:t>Recursos da Microsoft nas instalações do Cliente, conforme necessário.</w:t>
            </w:r>
          </w:p>
          <w:p w:rsidR="00D87CDE" w:rsidRDefault="00AC602F">
            <w:pPr>
              <w:pStyle w:val="ProductList-TableBody"/>
            </w:pPr>
            <w:r>
              <w:t>Esforço contínuo numa base 24x7</w:t>
            </w:r>
          </w:p>
          <w:p w:rsidR="00D87CDE" w:rsidRDefault="00AC602F">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Alocação de recursos adequados para manter um esforço contínuo numa base 24x7</w:t>
            </w:r>
            <w:r>
              <w:rPr>
                <w:vertAlign w:val="superscript"/>
              </w:rPr>
              <w:t>2</w:t>
            </w:r>
          </w:p>
          <w:p w:rsidR="00D87CDE" w:rsidRDefault="00AC602F">
            <w:pPr>
              <w:pStyle w:val="ProductList-TableBody"/>
            </w:pPr>
            <w:r>
              <w:t>Acesso e resposta rápidos da autoridade de controlo de alterações</w:t>
            </w:r>
          </w:p>
          <w:p w:rsidR="00D87CDE" w:rsidRDefault="00AC602F">
            <w:pPr>
              <w:pStyle w:val="ProductList-TableBody"/>
            </w:pPr>
            <w:r>
              <w:t>Notificação à gestão</w:t>
            </w:r>
          </w:p>
        </w:tc>
      </w:tr>
      <w:tr w:rsidR="00D87CDE">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Impacto empresarial moderado: </w:t>
            </w:r>
          </w:p>
          <w:p w:rsidR="00D87CDE" w:rsidRDefault="00AC602F">
            <w:pPr>
              <w:pStyle w:val="ProductList-TableBody"/>
            </w:pPr>
            <w:r>
              <w:t>Perda ou degradação moderada dos serviços mas o trabalho pode prosseguir em termos razoáveis de modo comprometido.</w:t>
            </w:r>
          </w:p>
          <w:p w:rsidR="00D87CDE" w:rsidRDefault="00AC602F">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1.º telefonema de resposta no prazo de 2 horas ou menos</w:t>
            </w:r>
          </w:p>
          <w:p w:rsidR="00D87CDE" w:rsidRDefault="00AC602F">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Alocação de recursos adequados para manter um esforço contínuo durante as Horas de Expediente1</w:t>
            </w:r>
          </w:p>
          <w:p w:rsidR="00D87CDE" w:rsidRDefault="00AC602F">
            <w:pPr>
              <w:pStyle w:val="ProductList-TableBody"/>
            </w:pPr>
            <w:r>
              <w:t>Acesso e resposta da autoridade de controlo de alterações no prazo de 4 Horas de Expediente</w:t>
            </w:r>
            <w:r>
              <w:rPr>
                <w:vertAlign w:val="superscript"/>
              </w:rPr>
              <w:t>1</w:t>
            </w:r>
          </w:p>
        </w:tc>
      </w:tr>
      <w:tr w:rsidR="00D87CDE">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Impacto empresarial mínimo: </w:t>
            </w:r>
          </w:p>
          <w:p w:rsidR="00D87CDE" w:rsidRDefault="00AC602F">
            <w:pPr>
              <w:pStyle w:val="ProductList-TableBody"/>
            </w:pPr>
            <w:r>
              <w:t>Funciona, essencialmente, sem impedimentos ou com impedimentos menores aos serviços.</w:t>
            </w:r>
          </w:p>
          <w:p w:rsidR="00D87CDE" w:rsidRDefault="00AC602F">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1.º telefonema de resposta no prazo de 4 horas ou menos</w:t>
            </w:r>
          </w:p>
          <w:p w:rsidR="00D87CDE" w:rsidRDefault="00AC602F">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Informação precisa da pessoa de contacto para o caso específico</w:t>
            </w:r>
          </w:p>
          <w:p w:rsidR="00D87CDE" w:rsidRDefault="00AC602F">
            <w:pPr>
              <w:pStyle w:val="ProductList-TableBody"/>
            </w:pPr>
            <w:r>
              <w:t>Resposta no prazo de 24 horas</w:t>
            </w:r>
          </w:p>
        </w:tc>
      </w:tr>
    </w:tbl>
    <w:p w:rsidR="00D87CDE" w:rsidRDefault="00AC602F">
      <w:pPr>
        <w:pStyle w:val="ProductList-Body"/>
      </w:pPr>
      <w:r>
        <w:rPr>
          <w:vertAlign w:val="superscript"/>
        </w:rPr>
        <w:t>1</w:t>
      </w:r>
      <w:r>
        <w:rPr>
          <w:i/>
        </w:rPr>
        <w:t>As Horas de Expediente são definidas localmente.</w:t>
      </w:r>
    </w:p>
    <w:p w:rsidR="00D87CDE" w:rsidRDefault="00AC602F">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D87CDE" w:rsidRDefault="00D87CDE">
      <w:pPr>
        <w:pStyle w:val="ProductList-Body"/>
      </w:pPr>
    </w:p>
    <w:p w:rsidR="00D87CDE" w:rsidRDefault="00AC602F">
      <w:pPr>
        <w:pStyle w:val="ProductList-ClauseHeading"/>
        <w:outlineLvl w:val="2"/>
      </w:pPr>
      <w:r>
        <w:t>Regras Comerciais Associadas</w:t>
      </w:r>
    </w:p>
    <w:p w:rsidR="00D87CDE" w:rsidRDefault="00AC602F">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D87CDE" w:rsidRDefault="00AC602F">
      <w:pPr>
        <w:pStyle w:val="ProductList-Offering1Heading"/>
        <w:outlineLvl w:val="1"/>
      </w:pPr>
      <w:bookmarkStart w:id="407" w:name="_Sec566"/>
      <w:r>
        <w:t>Ofertas do Programa de Estratégia Empresarial da Microsoft</w:t>
      </w:r>
      <w:bookmarkEnd w:id="407"/>
      <w:r>
        <w:fldChar w:fldCharType="begin"/>
      </w:r>
      <w:r>
        <w:instrText xml:space="preserve"> TC "</w:instrText>
      </w:r>
      <w:bookmarkStart w:id="408" w:name="_Toc452110547"/>
      <w:r>
        <w:instrText>Ofertas do Programa de Estratégia Empresarial da Microsoft</w:instrText>
      </w:r>
      <w:bookmarkEnd w:id="408"/>
      <w:r>
        <w:instrText>" \l 2</w:instrText>
      </w:r>
      <w:r>
        <w:fldChar w:fldCharType="end"/>
      </w:r>
    </w:p>
    <w:p w:rsidR="00D87CDE" w:rsidRDefault="00AC602F">
      <w:pPr>
        <w:pStyle w:val="ProductList-Body"/>
      </w:pPr>
      <w:r>
        <w:t>As ofertas do Programa de Estratégia Empresarial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0"/>
        <w:gridCol w:w="2732"/>
        <w:gridCol w:w="2689"/>
        <w:gridCol w:w="2689"/>
      </w:tblGrid>
      <w:tr w:rsidR="00D87CD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Portefólio de Estratégia Empresarial</w:t>
            </w:r>
          </w:p>
        </w:tc>
      </w:tr>
      <w:tr w:rsidR="00D87CDE">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9RO-xxxx</w:t>
            </w:r>
          </w:p>
        </w:tc>
      </w:tr>
      <w:tr w:rsidR="00D87CDE">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Agregação de até 400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Agregação de até 800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 xml:space="preserve">Agregação de até 1600 horas de um Arquiteto da Microsoft e da Equipa de Prestação de Serviços Empresariais </w:t>
            </w:r>
          </w:p>
        </w:tc>
      </w:tr>
      <w:tr w:rsidR="00D87CDE">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pPr>
          </w:p>
        </w:tc>
      </w:tr>
      <w:tr w:rsidR="00D87CDE">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Rede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pPr>
          </w:p>
        </w:tc>
      </w:tr>
      <w:tr w:rsidR="00D87CDE">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Biblioteca de Recursos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7CDE" w:rsidRDefault="00D87CDE">
            <w:pPr>
              <w:pStyle w:val="ProductList-TableBody"/>
            </w:pPr>
          </w:p>
        </w:tc>
      </w:tr>
      <w:tr w:rsidR="00D87CDE">
        <w:tc>
          <w:tcPr>
            <w:tcW w:w="306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Capacitação da Estratégia Empresarial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200 horas (podem ser adicionadas a qualquer uma das ofertas acima)</w:t>
            </w:r>
          </w:p>
        </w:tc>
      </w:tr>
    </w:tbl>
    <w:p w:rsidR="00D87CDE" w:rsidRDefault="00D87CDE">
      <w:pPr>
        <w:pStyle w:val="ProductList-Body"/>
      </w:pPr>
    </w:p>
    <w:p w:rsidR="00D87CDE" w:rsidRDefault="00AC602F">
      <w:pPr>
        <w:pStyle w:val="ProductList-ClauseHeading"/>
        <w:outlineLvl w:val="2"/>
      </w:pPr>
      <w:r>
        <w:t>Módulos de Serviços de Estratégia Empresarial</w:t>
      </w:r>
    </w:p>
    <w:p w:rsidR="00D87CDE" w:rsidRDefault="00AC602F">
      <w:pPr>
        <w:pStyle w:val="ProductList-Body"/>
      </w:pPr>
      <w:r>
        <w:t>O compromisso de Estratégia Empresarial inclui um ou mais módulos de serviços de Estratégia Empresarial, tal como documentado no Plano de Prestação de Serviços.</w:t>
      </w:r>
    </w:p>
    <w:p w:rsidR="00D87CDE" w:rsidRDefault="00D87CDE">
      <w:pPr>
        <w:pStyle w:val="ProductList-Body"/>
      </w:pPr>
    </w:p>
    <w:p w:rsidR="00D87CDE" w:rsidRDefault="00AC602F">
      <w:pPr>
        <w:pStyle w:val="ProductList-ClauseHeading"/>
        <w:outlineLvl w:val="2"/>
      </w:pPr>
      <w:r>
        <w:t>Serviços Fora do Âmbito</w:t>
      </w:r>
    </w:p>
    <w:p w:rsidR="00D87CDE" w:rsidRDefault="00AC602F">
      <w:pPr>
        <w:pStyle w:val="ProductList-Body"/>
      </w:pPr>
      <w:r>
        <w:t>Os Serviços Profissionais num Programa de Estratégia Empresarial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D87CDE" w:rsidRDefault="00D87CDE">
      <w:pPr>
        <w:pStyle w:val="ProductList-Body"/>
      </w:pPr>
    </w:p>
    <w:p w:rsidR="00D87CDE" w:rsidRDefault="00AC602F">
      <w:pPr>
        <w:pStyle w:val="ProductList-ClauseHeading"/>
        <w:outlineLvl w:val="2"/>
      </w:pPr>
      <w:r>
        <w:t>Responsabilidades do Cliente</w:t>
      </w:r>
    </w:p>
    <w:p w:rsidR="00D87CDE" w:rsidRDefault="00AC602F">
      <w:pPr>
        <w:pStyle w:val="ProductList-Body"/>
      </w:pPr>
      <w:r>
        <w:t>O Cliente concorda em cooperar com a Microsoft como parte do Programa de Estratégia Empresarial,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D87CDE" w:rsidRDefault="00AC602F">
      <w:pPr>
        <w:pStyle w:val="ProductList-Offering1Heading"/>
        <w:outlineLvl w:val="1"/>
      </w:pPr>
      <w:bookmarkStart w:id="409" w:name="_Sec567"/>
      <w:r>
        <w:t>Ofertas de Acelerador de Produtividade de Vendas</w:t>
      </w:r>
      <w:bookmarkEnd w:id="409"/>
      <w:r>
        <w:fldChar w:fldCharType="begin"/>
      </w:r>
      <w:r>
        <w:instrText xml:space="preserve"> TC "</w:instrText>
      </w:r>
      <w:bookmarkStart w:id="410" w:name="_Toc452110548"/>
      <w:r>
        <w:instrText>Ofertas de Acelerador de Produtividade de Vendas</w:instrText>
      </w:r>
      <w:bookmarkEnd w:id="410"/>
      <w:r>
        <w:instrText>" \l 2</w:instrText>
      </w:r>
      <w:r>
        <w:fldChar w:fldCharType="end"/>
      </w:r>
    </w:p>
    <w:p w:rsidR="00D87CDE" w:rsidRDefault="00AC602F">
      <w:pPr>
        <w:pStyle w:val="ProductList-ClauseHeading"/>
        <w:outlineLvl w:val="2"/>
      </w:pPr>
      <w:r>
        <w:t>Descrição Geral do Acelerador de Produtividade de Vendas</w:t>
      </w:r>
    </w:p>
    <w:p w:rsidR="00D87CDE" w:rsidRDefault="00AC602F">
      <w:pPr>
        <w:pStyle w:val="ProductList-Body"/>
      </w:pPr>
      <w:r>
        <w:t>O Acelerador de Produtividade de Vendas é um serviço fornecido pelos Serviços da Microsoft num período de quatro (4) semanas de modo a fornecer uma implementação de âmbito fixo do Microsoft Dynamics CRM Online.</w:t>
      </w:r>
    </w:p>
    <w:p w:rsidR="00D87CDE" w:rsidRDefault="00D87CDE">
      <w:pPr>
        <w:pStyle w:val="ProductList-Body"/>
      </w:pPr>
    </w:p>
    <w:p w:rsidR="00D87CDE" w:rsidRDefault="00AC602F">
      <w:pPr>
        <w:pStyle w:val="ProductList-Body"/>
      </w:pPr>
      <w:r>
        <w:t>O Acelerador de Produtividade de Vendas inclui os seguintes componentes distribuíveis de serviços:</w:t>
      </w:r>
    </w:p>
    <w:p w:rsidR="00D87CDE" w:rsidRDefault="00AC602F" w:rsidP="00AC602F">
      <w:pPr>
        <w:pStyle w:val="ProductList-Bullet"/>
        <w:numPr>
          <w:ilvl w:val="0"/>
          <w:numId w:val="49"/>
        </w:numPr>
      </w:pPr>
      <w:r>
        <w:rPr>
          <w:b/>
          <w:color w:val="00188F"/>
        </w:rPr>
        <w:t>Plano de Prestação de Serviços</w:t>
      </w:r>
      <w:r>
        <w:t>: criado por um Consultor da Microsoft para responder aos objetivos comerciais do cliente.</w:t>
      </w:r>
    </w:p>
    <w:p w:rsidR="00D87CDE" w:rsidRDefault="00AC602F" w:rsidP="00AC602F">
      <w:pPr>
        <w:pStyle w:val="ProductList-Bullet"/>
        <w:numPr>
          <w:ilvl w:val="0"/>
          <w:numId w:val="49"/>
        </w:numPr>
      </w:pPr>
      <w:r>
        <w:rPr>
          <w:b/>
          <w:color w:val="00188F"/>
        </w:rPr>
        <w:t>Workshops</w:t>
      </w:r>
      <w:r>
        <w:t>: dedicados a uma duração total de dezasseis (16) horas:</w:t>
      </w:r>
    </w:p>
    <w:p w:rsidR="00D87CDE" w:rsidRDefault="00AC602F" w:rsidP="00AC602F">
      <w:pPr>
        <w:pStyle w:val="ProductList-Bullet"/>
        <w:numPr>
          <w:ilvl w:val="1"/>
          <w:numId w:val="49"/>
        </w:numPr>
      </w:pPr>
      <w:r>
        <w:t>Até dois (2) workshops de deteção, para explorar e definir casos de utilização chave e requisitos comerciais, conforme fornecido pelo Cliente, para definições de configuração;</w:t>
      </w:r>
    </w:p>
    <w:p w:rsidR="00D87CDE" w:rsidRDefault="00AC602F" w:rsidP="00AC602F">
      <w:pPr>
        <w:pStyle w:val="ProductList-Bullet"/>
        <w:numPr>
          <w:ilvl w:val="1"/>
          <w:numId w:val="49"/>
        </w:numPr>
      </w:pPr>
      <w:r>
        <w:t>Até quatro (4) workshops de revisão de conceção durante a fase de Compilação.</w:t>
      </w:r>
    </w:p>
    <w:p w:rsidR="00D87CDE" w:rsidRDefault="00AC602F" w:rsidP="00AC602F">
      <w:pPr>
        <w:pStyle w:val="ProductList-Bullet"/>
        <w:numPr>
          <w:ilvl w:val="0"/>
          <w:numId w:val="49"/>
        </w:numPr>
      </w:pPr>
      <w:r>
        <w:rPr>
          <w:b/>
          <w:color w:val="00188F"/>
        </w:rPr>
        <w:t>Relatórios</w:t>
      </w:r>
      <w:r>
        <w:t>: Um (1) dashboard nativo do Microsoft Dynamics CRM Online com um máximo de quatro (4) componentes nativos e dois (2) Relatórios Excel Power View utilizando o Power BI Pro5 configurado para um máximo de dois (2). Os relatórios apresentam até dois (2) gráficos interativos por entidade com dados fornecidos pelo Microsoft Dynamics CRM Online.</w:t>
      </w:r>
    </w:p>
    <w:p w:rsidR="00D87CDE" w:rsidRDefault="00AC602F" w:rsidP="00AC602F">
      <w:pPr>
        <w:pStyle w:val="ProductList-Bullet"/>
        <w:numPr>
          <w:ilvl w:val="0"/>
          <w:numId w:val="49"/>
        </w:numPr>
      </w:pPr>
      <w:r>
        <w:rPr>
          <w:b/>
          <w:color w:val="00188F"/>
        </w:rPr>
        <w:t>Configuração</w:t>
      </w:r>
      <w:r>
        <w:t>: O Microsoft Dynamics CRM Online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CRM Online.</w:t>
      </w:r>
    </w:p>
    <w:p w:rsidR="00D87CDE" w:rsidRDefault="00AC602F" w:rsidP="00AC602F">
      <w:pPr>
        <w:pStyle w:val="ProductList-Bullet"/>
        <w:numPr>
          <w:ilvl w:val="0"/>
          <w:numId w:val="49"/>
        </w:numPr>
      </w:pPr>
      <w:r>
        <w:rPr>
          <w:b/>
          <w:color w:val="00188F"/>
        </w:rPr>
        <w:t>Testes</w:t>
      </w:r>
      <w:r>
        <w:t>: dedicados a um máximo de vinte seis (26) horas até dois (2) testes (por exemplo, Teste do Sistema e UAT).</w:t>
      </w:r>
    </w:p>
    <w:p w:rsidR="00D87CDE" w:rsidRDefault="00AC602F" w:rsidP="00AC602F">
      <w:pPr>
        <w:pStyle w:val="ProductList-Bullet"/>
        <w:numPr>
          <w:ilvl w:val="0"/>
          <w:numId w:val="49"/>
        </w:numPr>
      </w:pPr>
      <w:r>
        <w:rPr>
          <w:b/>
          <w:color w:val="00188F"/>
        </w:rPr>
        <w:t>Formação e Partilha de Conhecimentos</w:t>
      </w:r>
      <w:r>
        <w:t>: Fornece uma (1) formação orientada por produto para os utilizadores do Cliente, para um total de quatro (4) horas.</w:t>
      </w:r>
    </w:p>
    <w:p w:rsidR="00D87CDE" w:rsidRDefault="00AC602F" w:rsidP="00AC602F">
      <w:pPr>
        <w:pStyle w:val="ProductList-Bullet"/>
        <w:numPr>
          <w:ilvl w:val="0"/>
          <w:numId w:val="49"/>
        </w:numPr>
      </w:pPr>
      <w:r>
        <w:rPr>
          <w:b/>
          <w:color w:val="00188F"/>
        </w:rPr>
        <w:t>Suporte de Implementação</w:t>
      </w:r>
      <w:r>
        <w:t>: Fornece até quarenta (40) horas de implementação e um suporte inicial (4 semanas) sujeito ao âmbito e requisitos do projeto pré-determinados.</w:t>
      </w:r>
    </w:p>
    <w:p w:rsidR="00D87CDE" w:rsidRDefault="00D87CDE">
      <w:pPr>
        <w:pStyle w:val="ProductList-Body"/>
      </w:pPr>
    </w:p>
    <w:p w:rsidR="00D87CDE" w:rsidRDefault="00AC602F">
      <w:pPr>
        <w:pStyle w:val="ProductList-ClauseHeading"/>
        <w:outlineLvl w:val="2"/>
      </w:pPr>
      <w:r>
        <w:t>Responsabilidades do Cliente</w:t>
      </w:r>
    </w:p>
    <w:p w:rsidR="00D87CDE" w:rsidRDefault="00AC602F">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SectionHeading"/>
        <w:pageBreakBefore/>
        <w:outlineLvl w:val="0"/>
      </w:pPr>
      <w:bookmarkStart w:id="411" w:name="_Sec563"/>
      <w:bookmarkEnd w:id="403"/>
      <w:r>
        <w:t>Apêndice D – Termos Suplementares do Contrato do Programa</w:t>
      </w:r>
      <w:r>
        <w:fldChar w:fldCharType="begin"/>
      </w:r>
      <w:r>
        <w:instrText xml:space="preserve"> TC "</w:instrText>
      </w:r>
      <w:bookmarkStart w:id="412" w:name="_Toc452110549"/>
      <w:r>
        <w:instrText>Apêndice D – Termos Suplementares do Contrato do Programa</w:instrText>
      </w:r>
      <w:bookmarkEnd w:id="412"/>
      <w:r>
        <w:instrText>" \l 1</w:instrText>
      </w:r>
      <w:r>
        <w:fldChar w:fldCharType="end"/>
      </w:r>
    </w:p>
    <w:p w:rsidR="00D87CDE" w:rsidRDefault="00AC602F">
      <w:pPr>
        <w:pStyle w:val="ProductList-Body"/>
      </w:pPr>
      <w:r>
        <w:t>Os termos e condições abaixo aplicam-se ao contrato de licenciamento em volume do Cliente, conforme indicado.</w:t>
      </w:r>
    </w:p>
    <w:p w:rsidR="00D87CDE" w:rsidRDefault="00AC602F">
      <w:pPr>
        <w:pStyle w:val="ProductList-Offering1Heading"/>
        <w:outlineLvl w:val="1"/>
      </w:pPr>
      <w:bookmarkStart w:id="413" w:name="_Sec568"/>
      <w:r>
        <w:t>Termos Suplementares para o Programa Select Plus</w:t>
      </w:r>
      <w:bookmarkEnd w:id="413"/>
      <w:r>
        <w:fldChar w:fldCharType="begin"/>
      </w:r>
      <w:r>
        <w:instrText xml:space="preserve"> TC "</w:instrText>
      </w:r>
      <w:bookmarkStart w:id="414" w:name="_Toc452110550"/>
      <w:r>
        <w:instrText>Termos Suplementares para o Programa Select Plus</w:instrText>
      </w:r>
      <w:bookmarkEnd w:id="414"/>
      <w:r>
        <w:instrText>" \l 2</w:instrText>
      </w:r>
      <w:r>
        <w:fldChar w:fldCharType="end"/>
      </w:r>
    </w:p>
    <w:p w:rsidR="00D87CDE" w:rsidRDefault="00AC602F">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D87CDE" w:rsidRDefault="00D87CDE">
      <w:pPr>
        <w:pStyle w:val="ProductList-Body"/>
      </w:pPr>
    </w:p>
    <w:p w:rsidR="00D87CDE" w:rsidRDefault="00AC602F">
      <w:pPr>
        <w:pStyle w:val="ProductList-ClauseHeading"/>
        <w:outlineLvl w:val="2"/>
      </w:pPr>
      <w:r>
        <w:t>Níveis de Preços em Select Plus</w:t>
      </w:r>
    </w:p>
    <w:p w:rsidR="00D87CDE" w:rsidRDefault="00AC602F">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D87C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CDE" w:rsidRDefault="00AC602F">
            <w:pPr>
              <w:pStyle w:val="ProductList-TableBody"/>
            </w:pPr>
            <w:r>
              <w:rPr>
                <w:color w:val="FFFFFF"/>
              </w:rPr>
              <w:t>Mínimo de Pontos Anuais por Conjunto</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500</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4,000</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10,000</w:t>
            </w:r>
          </w:p>
        </w:tc>
      </w:tr>
      <w:tr w:rsidR="00D87CDE">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87CDE" w:rsidRDefault="00AC602F">
            <w:pPr>
              <w:pStyle w:val="ProductList-TableBody"/>
            </w:pPr>
            <w:r>
              <w:t>25,000</w:t>
            </w:r>
          </w:p>
        </w:tc>
      </w:tr>
    </w:tbl>
    <w:p w:rsidR="00D87CDE" w:rsidRDefault="00AC602F">
      <w:pPr>
        <w:pStyle w:val="ProductList-Offering1Heading"/>
        <w:outlineLvl w:val="1"/>
      </w:pPr>
      <w:bookmarkStart w:id="415" w:name="_Sec569"/>
      <w:r>
        <w:t>Definição de Gestão de Dispositivos Qualificados</w:t>
      </w:r>
      <w:bookmarkEnd w:id="415"/>
      <w:r>
        <w:fldChar w:fldCharType="begin"/>
      </w:r>
      <w:r>
        <w:instrText xml:space="preserve"> TC "</w:instrText>
      </w:r>
      <w:bookmarkStart w:id="416" w:name="_Toc452110551"/>
      <w:r>
        <w:instrText>Definição de Gestão de Dispositivos Qualificados</w:instrText>
      </w:r>
      <w:bookmarkEnd w:id="416"/>
      <w:r>
        <w:instrText>" \l 2</w:instrText>
      </w:r>
      <w:r>
        <w:fldChar w:fldCharType="end"/>
      </w:r>
    </w:p>
    <w:p w:rsidR="00D87CDE" w:rsidRDefault="00AC602F">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D87CDE" w:rsidRDefault="00AC602F" w:rsidP="00AC602F">
      <w:pPr>
        <w:pStyle w:val="ProductList-Bullet"/>
        <w:numPr>
          <w:ilvl w:val="0"/>
          <w:numId w:val="50"/>
        </w:numPr>
      </w:pPr>
      <w:r>
        <w:t>que permita aderir ao respetivo domínio ou</w:t>
      </w:r>
    </w:p>
    <w:p w:rsidR="00D87CDE" w:rsidRDefault="00AC602F" w:rsidP="00AC602F">
      <w:pPr>
        <w:pStyle w:val="ProductList-Bullet"/>
        <w:numPr>
          <w:ilvl w:val="0"/>
          <w:numId w:val="50"/>
        </w:numPr>
      </w:pPr>
      <w:r>
        <w:t>que autentique como requisito a utilização de aplicações enquanto estiver no respetivo local ou</w:t>
      </w:r>
    </w:p>
    <w:p w:rsidR="00D87CDE" w:rsidRDefault="00AC602F" w:rsidP="00AC602F">
      <w:pPr>
        <w:pStyle w:val="ProductList-Bullet"/>
        <w:numPr>
          <w:ilvl w:val="0"/>
          <w:numId w:val="50"/>
        </w:numPr>
      </w:pPr>
      <w:r>
        <w:t>que instale agentes (por exemplo, agentes antivírus, antimalware ou outros agentes atribuídos de acordo com a política do Cliente), ou</w:t>
      </w:r>
    </w:p>
    <w:p w:rsidR="00D87CDE" w:rsidRDefault="00AC602F" w:rsidP="00AC602F">
      <w:pPr>
        <w:pStyle w:val="ProductList-Bullet"/>
        <w:numPr>
          <w:ilvl w:val="0"/>
          <w:numId w:val="50"/>
        </w:numPr>
      </w:pPr>
      <w:r>
        <w:t>ao qual se aplique direta ou indiretamente e que imponha as políticas de grupo ou</w:t>
      </w:r>
    </w:p>
    <w:p w:rsidR="00D87CDE" w:rsidRDefault="00AC602F" w:rsidP="00AC602F">
      <w:pPr>
        <w:pStyle w:val="ProductList-Bullet"/>
        <w:numPr>
          <w:ilvl w:val="0"/>
          <w:numId w:val="50"/>
        </w:numPr>
      </w:pPr>
      <w:r>
        <w:t>onde solicite ou receba dados e configure ou dê instruções ao hardware ou software associado direta ou indiretamente a um ambiente de sistema operativo ou</w:t>
      </w:r>
    </w:p>
    <w:p w:rsidR="00D87CDE" w:rsidRDefault="00AC602F" w:rsidP="00AC602F">
      <w:pPr>
        <w:pStyle w:val="ProductList-Bullet"/>
        <w:numPr>
          <w:ilvl w:val="0"/>
          <w:numId w:val="50"/>
        </w:numPr>
      </w:pPr>
      <w:r>
        <w:t>que permita aceder a uma infraestrutura da estação de trabalho virtual (VDI) fora da cobertura SA do Windows, Microsoft Intune (Dispositivo) ou Direitos de Roaming do Windows Virtual Desktop Access.</w:t>
      </w:r>
    </w:p>
    <w:p w:rsidR="00D87CDE" w:rsidRDefault="00D87CDE">
      <w:pPr>
        <w:pStyle w:val="ProductList-Body"/>
      </w:pPr>
    </w:p>
    <w:p w:rsidR="00D87CDE" w:rsidRDefault="00AC602F">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D87CDE" w:rsidRDefault="00AC602F">
      <w:pPr>
        <w:pStyle w:val="ProductList-Offering1Heading"/>
        <w:outlineLvl w:val="1"/>
      </w:pPr>
      <w:bookmarkStart w:id="417" w:name="_Sec570"/>
      <w:r>
        <w:t>Serviços Online nos Programas Open</w:t>
      </w:r>
      <w:bookmarkEnd w:id="417"/>
      <w:r>
        <w:fldChar w:fldCharType="begin"/>
      </w:r>
      <w:r>
        <w:instrText xml:space="preserve"> TC "</w:instrText>
      </w:r>
      <w:bookmarkStart w:id="418" w:name="_Toc452110552"/>
      <w:r>
        <w:instrText>Serviços Online nos Programas Open</w:instrText>
      </w:r>
      <w:bookmarkEnd w:id="418"/>
      <w:r>
        <w:instrText>" \l 2</w:instrText>
      </w:r>
      <w:r>
        <w:fldChar w:fldCharType="end"/>
      </w:r>
    </w:p>
    <w:p w:rsidR="00D87CDE" w:rsidRDefault="00AC602F">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D87CDE" w:rsidRDefault="00D87CDE">
      <w:pPr>
        <w:pStyle w:val="ProductList-Body"/>
      </w:pPr>
    </w:p>
    <w:p w:rsidR="00D87CDE" w:rsidRDefault="00AC602F">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D87CDE" w:rsidRDefault="00AC602F">
      <w:pPr>
        <w:pStyle w:val="ProductList-Offering1Heading"/>
        <w:outlineLvl w:val="1"/>
      </w:pPr>
      <w:bookmarkStart w:id="419" w:name="_Sec571"/>
      <w:r>
        <w:t>Termos Suplementares para Serviços Profissionais – Contratos Legados</w:t>
      </w:r>
      <w:bookmarkEnd w:id="419"/>
      <w:r>
        <w:fldChar w:fldCharType="begin"/>
      </w:r>
      <w:r>
        <w:instrText xml:space="preserve"> TC "</w:instrText>
      </w:r>
      <w:bookmarkStart w:id="420" w:name="_Toc452110553"/>
      <w:r>
        <w:instrText>Termos Suplementares para Serviços Profissionais – Contratos Legados</w:instrText>
      </w:r>
      <w:bookmarkEnd w:id="420"/>
      <w:r>
        <w:instrText>" \l 2</w:instrText>
      </w:r>
      <w:r>
        <w:fldChar w:fldCharType="end"/>
      </w:r>
    </w:p>
    <w:p w:rsidR="00D87CDE" w:rsidRDefault="00AC602F">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D87CDE" w:rsidRDefault="00D87CDE">
      <w:pPr>
        <w:pStyle w:val="ProductList-Body"/>
      </w:pPr>
    </w:p>
    <w:p w:rsidR="00D87CDE" w:rsidRDefault="00AC602F">
      <w:pPr>
        <w:pStyle w:val="ProductList-ClauseHeading"/>
        <w:outlineLvl w:val="2"/>
      </w:pPr>
      <w:r>
        <w:t>Direitos de Utilização, Propriedade e Licença</w:t>
      </w:r>
    </w:p>
    <w:p w:rsidR="00D87CDE" w:rsidRDefault="00AC602F">
      <w:pPr>
        <w:pStyle w:val="ProductList-SubClauseHeading"/>
        <w:outlineLvl w:val="3"/>
      </w:pPr>
      <w:r>
        <w:t>Fixes</w:t>
      </w:r>
    </w:p>
    <w:p w:rsidR="00D87CDE" w:rsidRDefault="00AC602F">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D87CDE" w:rsidRDefault="00D87CDE">
      <w:pPr>
        <w:pStyle w:val="ProductList-BodyIndented"/>
      </w:pPr>
    </w:p>
    <w:p w:rsidR="00D87CDE" w:rsidRDefault="00AC602F">
      <w:pPr>
        <w:pStyle w:val="ProductList-SubClauseHeading"/>
        <w:outlineLvl w:val="3"/>
      </w:pPr>
      <w:r>
        <w:t>Trabalho Pré-existente</w:t>
      </w:r>
    </w:p>
    <w:p w:rsidR="00D87CDE" w:rsidRDefault="00AC602F">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D87CDE" w:rsidRDefault="00AC602F">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D87CDE" w:rsidRDefault="00D87CDE">
      <w:pPr>
        <w:pStyle w:val="ProductList-BodyIndented"/>
      </w:pPr>
    </w:p>
    <w:p w:rsidR="00D87CDE" w:rsidRDefault="00AC602F">
      <w:pPr>
        <w:pStyle w:val="ProductList-SubClauseHeading"/>
        <w:outlineLvl w:val="3"/>
      </w:pPr>
      <w:r>
        <w:t>Componentes Distribuíveis de Serviços</w:t>
      </w:r>
    </w:p>
    <w:p w:rsidR="00D87CDE" w:rsidRDefault="00AC602F">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D87CDE" w:rsidRDefault="00D87CDE">
      <w:pPr>
        <w:pStyle w:val="ProductList-BodyIndented"/>
      </w:pPr>
    </w:p>
    <w:p w:rsidR="00D87CDE" w:rsidRDefault="00AC602F">
      <w:pPr>
        <w:pStyle w:val="ProductList-SubClauseHeading"/>
        <w:outlineLvl w:val="3"/>
      </w:pPr>
      <w:r>
        <w:t>Utilização de informações técnicas dos Serviços Profissionais</w:t>
      </w:r>
    </w:p>
    <w:p w:rsidR="00D87CDE" w:rsidRDefault="00AC602F">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D87CDE" w:rsidRDefault="00D87CDE">
      <w:pPr>
        <w:pStyle w:val="ProductList-BodyIndented"/>
      </w:pPr>
    </w:p>
    <w:p w:rsidR="00D87CDE" w:rsidRDefault="00AC602F">
      <w:pPr>
        <w:pStyle w:val="ProductList-SubClauseHeading"/>
        <w:outlineLvl w:val="3"/>
      </w:pPr>
      <w:r>
        <w:t>Restrições à Licença Open Source</w:t>
      </w:r>
    </w:p>
    <w:p w:rsidR="00D87CDE" w:rsidRDefault="00AC602F">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D87CDE" w:rsidRDefault="00D87CDE">
      <w:pPr>
        <w:pStyle w:val="ProductList-BodyIndented"/>
      </w:pPr>
    </w:p>
    <w:p w:rsidR="00D87CDE" w:rsidRDefault="00AC602F">
      <w:pPr>
        <w:pStyle w:val="ProductList-SubClauseHeading"/>
        <w:outlineLvl w:val="3"/>
      </w:pPr>
      <w:r>
        <w:t>Direitos das Empresas Afiliadas</w:t>
      </w:r>
    </w:p>
    <w:p w:rsidR="00D87CDE" w:rsidRDefault="00AC602F">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D87CDE" w:rsidRDefault="00D87CDE">
      <w:pPr>
        <w:pStyle w:val="ProductList-BodyIndented"/>
      </w:pPr>
    </w:p>
    <w:p w:rsidR="00D87CDE" w:rsidRDefault="00AC602F">
      <w:pPr>
        <w:pStyle w:val="ProductList-ClauseHeading"/>
        <w:outlineLvl w:val="2"/>
      </w:pPr>
      <w:r>
        <w:t>Garantias e Limitações de Responsabilidade</w:t>
      </w:r>
    </w:p>
    <w:p w:rsidR="00D87CDE" w:rsidRDefault="00AC602F">
      <w:pPr>
        <w:pStyle w:val="ProductList-SubClauseHeading"/>
        <w:outlineLvl w:val="3"/>
      </w:pPr>
      <w:r>
        <w:t>Garantia para Serviços Profissionais</w:t>
      </w:r>
    </w:p>
    <w:p w:rsidR="00D87CDE" w:rsidRDefault="00AC602F">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D87CDE" w:rsidRDefault="00D87CDE">
      <w:pPr>
        <w:pStyle w:val="ProductList-BodyIndented"/>
      </w:pPr>
    </w:p>
    <w:p w:rsidR="00D87CDE" w:rsidRDefault="00AC602F">
      <w:pPr>
        <w:pStyle w:val="ProductList-SubClauseHeading"/>
        <w:outlineLvl w:val="3"/>
      </w:pPr>
      <w:r>
        <w:t>Limitação de Responsabilidade</w:t>
      </w:r>
    </w:p>
    <w:p w:rsidR="00D87CDE" w:rsidRDefault="00AC602F">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D87CDE" w:rsidRDefault="00D87CDE">
      <w:pPr>
        <w:pStyle w:val="ProductList-BodyIndented"/>
        <w:jc w:val="right"/>
      </w:pPr>
    </w:p>
    <w:tbl>
      <w:tblPr>
        <w:tblStyle w:val="PURTable0"/>
        <w:tblW w:w="0" w:type="dxa"/>
        <w:tblLook w:val="04A0" w:firstRow="1" w:lastRow="0" w:firstColumn="1" w:lastColumn="0" w:noHBand="0" w:noVBand="1"/>
      </w:tblPr>
      <w:tblGrid>
        <w:gridCol w:w="1044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Indented"/>
      </w:pPr>
    </w:p>
    <w:p w:rsidR="00D87CDE" w:rsidRDefault="00AC602F">
      <w:pPr>
        <w:pStyle w:val="ProductList-SectionHeading"/>
        <w:pageBreakBefore/>
        <w:outlineLvl w:val="0"/>
      </w:pPr>
      <w:bookmarkStart w:id="421" w:name="_Sec572"/>
      <w:bookmarkEnd w:id="411"/>
      <w:r>
        <w:t>Apêndice E – Promoções</w:t>
      </w:r>
      <w:r>
        <w:fldChar w:fldCharType="begin"/>
      </w:r>
      <w:r>
        <w:instrText xml:space="preserve"> TC "</w:instrText>
      </w:r>
      <w:bookmarkStart w:id="422" w:name="_Toc452110554"/>
      <w:r>
        <w:instrText>Apêndice E – Promoções</w:instrText>
      </w:r>
      <w:bookmarkEnd w:id="422"/>
      <w:r>
        <w:instrText>" \l 1</w:instrText>
      </w:r>
      <w:r>
        <w:fldChar w:fldCharType="end"/>
      </w:r>
    </w:p>
    <w:p w:rsidR="00D87CDE" w:rsidRDefault="00AC602F">
      <w:pPr>
        <w:pStyle w:val="ProductList-OfferingGroupHeading"/>
        <w:outlineLvl w:val="1"/>
      </w:pPr>
      <w:bookmarkStart w:id="423" w:name="_Sec867"/>
      <w:r>
        <w:t>Promoção do System Center Client Management Suite</w:t>
      </w:r>
      <w:bookmarkEnd w:id="423"/>
      <w:r>
        <w:fldChar w:fldCharType="begin"/>
      </w:r>
      <w:r>
        <w:instrText xml:space="preserve"> TC "</w:instrText>
      </w:r>
      <w:bookmarkStart w:id="424" w:name="_Toc452110555"/>
      <w:r>
        <w:instrText>Promoção do System Center Client Management Suite</w:instrText>
      </w:r>
      <w:bookmarkEnd w:id="424"/>
      <w:r>
        <w:instrText>" \l 2</w:instrText>
      </w:r>
      <w:r>
        <w:fldChar w:fldCharType="end"/>
      </w:r>
    </w:p>
    <w:p w:rsidR="00D87CDE" w:rsidRDefault="00AC602F">
      <w:pPr>
        <w:pStyle w:val="ProductList-Body"/>
      </w:pPr>
      <w:r>
        <w:t>O direito de utilizar o System Center Client Management Suite será incluído em todas as licenças Enterprise CAL Suite e Enterprise CAL Suite Bridge para Office 365 (com ou sem o Microsoft Intune) encomendadas até 31 de dezembro de 2016.</w:t>
      </w:r>
    </w:p>
    <w:p w:rsidR="00D87CDE" w:rsidRDefault="00AC602F">
      <w:pPr>
        <w:pStyle w:val="ProductList-OfferingGroupHeading"/>
        <w:outlineLvl w:val="1"/>
      </w:pPr>
      <w:bookmarkStart w:id="425" w:name="_Sec871"/>
      <w:r>
        <w:t>Promoção Azure Compute Capacity:</w:t>
      </w:r>
      <w:bookmarkEnd w:id="425"/>
      <w:r>
        <w:fldChar w:fldCharType="begin"/>
      </w:r>
      <w:r>
        <w:instrText xml:space="preserve"> TC "</w:instrText>
      </w:r>
      <w:bookmarkStart w:id="426" w:name="_Toc452110556"/>
      <w:r>
        <w:instrText>Promoção Azure Compute Capacity:</w:instrText>
      </w:r>
      <w:bookmarkEnd w:id="426"/>
      <w:r>
        <w:instrText>" \l 2</w:instrText>
      </w:r>
      <w:r>
        <w:fldChar w:fldCharType="end"/>
      </w:r>
    </w:p>
    <w:p w:rsidR="00D87CDE" w:rsidRDefault="00AC602F">
      <w:pPr>
        <w:pStyle w:val="ProductList-Body"/>
      </w:pPr>
      <w:r>
        <w:t>De 1 de novembro de 2015 a 31 de dezembro de 2016, a promoção Azure Compute Capacity oferece descontos nas instâncias Series Compute A, D e G como subscrições de 12 meses não contíguos. Se o Cliente adquirir as instâncias ao abrigo do Contrato Enterprise no último ano de uma Inscrição, qualquer elegibilidade restante na cessação pode ser aproveitada numa Inscrição renovada atempadamente. Se a Inscrição não for renovada atempadamente, o Cliente perde qualquer elegibilidade restante.</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AC602F">
      <w:pPr>
        <w:pStyle w:val="ProductList-OfferingGroupHeading"/>
        <w:outlineLvl w:val="1"/>
      </w:pPr>
      <w:bookmarkStart w:id="427" w:name="_Sec921"/>
      <w:r>
        <w:t>Promoção Azure Consumption Incentive</w:t>
      </w:r>
      <w:bookmarkEnd w:id="427"/>
      <w:r>
        <w:fldChar w:fldCharType="begin"/>
      </w:r>
      <w:r>
        <w:instrText xml:space="preserve"> TC "</w:instrText>
      </w:r>
      <w:bookmarkStart w:id="428" w:name="_Toc452110557"/>
      <w:r>
        <w:instrText>Promoção Azure Consumption Incentive</w:instrText>
      </w:r>
      <w:bookmarkEnd w:id="428"/>
      <w:r>
        <w:instrText xml:space="preserve"> " \l 2</w:instrText>
      </w:r>
      <w:r>
        <w:fldChar w:fldCharType="end"/>
      </w:r>
    </w:p>
    <w:p w:rsidR="00D87CDE" w:rsidRDefault="00AC602F">
      <w:pPr>
        <w:pStyle w:val="ProductList-Body"/>
      </w:pPr>
      <w:r>
        <w:t xml:space="preserve">A promoção Renewal/Mid-term Azure Credit está disponível para os Clientes que se comprometeram anteriormente ou utilizaram o Azure ao abrigo de um Contrato Enterprise. Se o Cliente efetuar uma Aquisição Elegível ao abrigo de um Contrato Enterprise entre 1 de maio de 2016 e 30 de junho de 2016, o Cliente (ou o Revendedor do Cliente, conforme aplicável), receberá um crédito monouso de Compromisso Monetário num montante equivalente a dez por cento (10%) da diferença entre a Aquisição Elegível e o Consumo Anterior. “Aquisição Elegível” identifica a aquisição do Compromisso Monetário por parte do Cliente num montante de pelo menos cento e trinta por cento (130%) do Consumo Anterior do Cliente e pelo menos oitenta e quatro (84) Unidades de Compromisso do Azure. “Consumo Anterior” identifica o maior entre o (i) Compromisso Anual Atribuído anterior do Cliente ou o (ii) consumo atual dos Serviços do Microsoft Azure por parte do Cliente durante o ano anterior para a Aquisição Elegível. O crédito de Compromisso Monetário será adicionado pela Microsoft (ou pelo Revendedor do Cliente, conforme aplicável) ao saldo do Compromisso Monetário do Cliente no prazo de trinta (30) dias após a Aquisição Elegível. Qualquer parte do crédito do Compromisso Monetário que não tenha sido consumido pelo Cliente até à data de aniversário da Inscrição irá expirar e será confiscada. </w:t>
      </w:r>
    </w:p>
    <w:p w:rsidR="00D87CDE" w:rsidRDefault="00AC602F">
      <w:pPr>
        <w:pStyle w:val="ProductList-OfferingGroupHeading"/>
        <w:outlineLvl w:val="1"/>
      </w:pPr>
      <w:bookmarkStart w:id="429" w:name="_Sec922"/>
      <w:r>
        <w:t>Promoção Renewal/Mid-term Azure Credit</w:t>
      </w:r>
      <w:bookmarkEnd w:id="429"/>
      <w:r>
        <w:fldChar w:fldCharType="begin"/>
      </w:r>
      <w:r>
        <w:instrText xml:space="preserve"> TC "</w:instrText>
      </w:r>
      <w:bookmarkStart w:id="430" w:name="_Toc452110558"/>
      <w:r>
        <w:instrText>Promoção Renewal/Mid-term Azure Credit</w:instrText>
      </w:r>
      <w:bookmarkEnd w:id="430"/>
      <w:r>
        <w:instrText>" \l 2</w:instrText>
      </w:r>
      <w:r>
        <w:fldChar w:fldCharType="end"/>
      </w:r>
    </w:p>
    <w:p w:rsidR="00D87CDE" w:rsidRDefault="00AC602F">
      <w:pPr>
        <w:pStyle w:val="ProductList-Body"/>
      </w:pPr>
      <w:r>
        <w:t xml:space="preserve">Ao abrigo da promoção Azure Consumption Incentive, um Cliente de Contrato Enterprise novo ou a renovar (ou o Revendedor do Cliente, conforme aplicável) que adquira pelo menos quarenta e duas (42) unidades do Compromisso Monetário do Azure, entre 1 de maio de 2016 e 30 de junho de 2016, será elegível para receber um crédito monouso do Compromisso Monetário do Azure equivalente a até 25% do Compromisso Monetário do Azure que o Cliente consome durante os primeiros três meses do termo do contrato. O crédito de Compromisso Monetário será adicionado pela Microsoft (ou pelo Revendedor do Cliente, conforme aplicável) ao saldo do Compromisso Monetário do Cliente quatro (4) meses do calendário após a data efetiva do contrato novo ou renovado. Qualquer parte do crédito do Compromisso Monetário que não tenha sido consumido pelo Cliente até à data de aniversário da Inscrição irá expirar e será confiscada. </w:t>
      </w:r>
    </w:p>
    <w:p w:rsidR="00D87CDE" w:rsidRDefault="00AC602F">
      <w:pPr>
        <w:pStyle w:val="ProductList-OfferingGroupHeading"/>
        <w:outlineLvl w:val="1"/>
      </w:pPr>
      <w:bookmarkStart w:id="431" w:name="_Sec923"/>
      <w:r>
        <w:t>Promoção Worldwide Compute Pre-Purchase (MC híbrido+CPP)</w:t>
      </w:r>
      <w:bookmarkEnd w:id="431"/>
      <w:r>
        <w:fldChar w:fldCharType="begin"/>
      </w:r>
      <w:r>
        <w:instrText xml:space="preserve"> TC "</w:instrText>
      </w:r>
      <w:bookmarkStart w:id="432" w:name="_Toc452110559"/>
      <w:r>
        <w:instrText>Promoção Worldwide Compute Pre-Purchase (MC híbrido+CPP)</w:instrText>
      </w:r>
      <w:bookmarkEnd w:id="432"/>
      <w:r>
        <w:instrText>" \l 2</w:instrText>
      </w:r>
      <w:r>
        <w:fldChar w:fldCharType="end"/>
      </w:r>
    </w:p>
    <w:p w:rsidR="00D87CDE" w:rsidRDefault="00AC602F">
      <w:pPr>
        <w:pStyle w:val="ProductList-Body"/>
      </w:pPr>
      <w:r>
        <w:t>Se o Cliente adquirir pelo menos dez (10) Azure Compute Pre-Purchase Plans (“CPP”) numa única transação entre 1 de abril de 2016 e 30 de junho de 2016 (“Aquisição Elegível”), o Cliente (ou o Revendedor do Cliente, conforme aplicável), será elegível para receber um crédito monouso do Compromisso Monetário equivalente a dez por cento (10%) do montante de todas as Aquisições Elegíveis do Cliente. Os SKUs A da Série CPP estão excluídos desta promoção de crédito. O crédito de Compromisso Monetário será adicionado pela Microsoft (ou pelo Revendedor do Cliente, conforme aplicável) ao saldo do Compromisso Monetário do Cliente no prazo máximo de sessenta (60) dias após a data da última Aquisição Elegível. Qualquer parte do crédito do Compromisso Monetário que não tenha sido consumido pelo Cliente até à data de aniversário da Inscrição irá expirar e será confiscada.</w:t>
      </w:r>
    </w:p>
    <w:p w:rsidR="00D87CDE" w:rsidRDefault="00AC602F">
      <w:pPr>
        <w:pStyle w:val="ProductList-SectionHeading"/>
        <w:pageBreakBefore/>
        <w:outlineLvl w:val="0"/>
      </w:pPr>
      <w:bookmarkStart w:id="433" w:name="_Sec899"/>
      <w:bookmarkEnd w:id="421"/>
      <w:r>
        <w:t>Apêndice - Termos de Matriz de Armazenamento</w:t>
      </w:r>
      <w:r>
        <w:fldChar w:fldCharType="begin"/>
      </w:r>
      <w:r>
        <w:instrText xml:space="preserve"> TC "</w:instrText>
      </w:r>
      <w:bookmarkStart w:id="434" w:name="_Toc452110560"/>
      <w:r>
        <w:instrText>Apêndice - Termos de Matriz de Armazenamento</w:instrText>
      </w:r>
      <w:bookmarkEnd w:id="434"/>
      <w:r>
        <w:instrText>" \l 1</w:instrText>
      </w:r>
      <w:r>
        <w:fldChar w:fldCharType="end"/>
      </w:r>
    </w:p>
    <w:p w:rsidR="00D87CDE" w:rsidRDefault="00AC602F">
      <w:pPr>
        <w:pStyle w:val="ProductList-Offering1Heading"/>
        <w:outlineLvl w:val="1"/>
      </w:pPr>
      <w:bookmarkStart w:id="435" w:name="_Sec900"/>
      <w:r>
        <w:t>Disponibilidade</w:t>
      </w:r>
      <w:bookmarkEnd w:id="435"/>
      <w:r>
        <w:fldChar w:fldCharType="begin"/>
      </w:r>
      <w:r>
        <w:instrText xml:space="preserve"> TC "</w:instrText>
      </w:r>
      <w:bookmarkStart w:id="436" w:name="_Toc452110561"/>
      <w:r>
        <w:instrText>Disponibilidade</w:instrText>
      </w:r>
      <w:bookmarkEnd w:id="436"/>
      <w:r>
        <w:instrText>" \l 2</w:instrText>
      </w:r>
      <w:r>
        <w:fldChar w:fldCharType="end"/>
      </w:r>
    </w:p>
    <w:p w:rsidR="00D87CDE" w:rsidRDefault="00AC602F">
      <w:pPr>
        <w:pStyle w:val="ProductList-Body"/>
      </w:pPr>
      <w:r>
        <w:t>A Matriz de Armazenamento está disponível apenas nas seguintes regiões: Austrália, Áustria, Barém, Bélgica, Brasil, Canadá, Chile, Colômbia, República Checa, Dinamarca, Egito, Finlândia, França, Alemanha, Grécia, Hong Kong, Hungria, Islândia, Índia, Indonésia, Irlanda, Israel, Itália, Japão, Quénia, Kuwait, Macau, Malásia, México, Países Baixos, Nova Zelândia, Nigéria, Noruega, Peru, Filipinas, Polónia, Portugal, Porto Rico, Catar, Roménia, Rússia, Arábia Saudita, Singapura, Eslováquia, Eslovénia, África do Sul, Espanha, Coreia do Sul, Sri Lanka, Suécia, Suíça, Taiwan, Tailândia, Turquia, Emirados Árabes Unidos, Ucrânia, Reino Unido, Estados Unidos, Vietname.</w:t>
      </w:r>
    </w:p>
    <w:p w:rsidR="00D87CDE" w:rsidRDefault="00AC602F">
      <w:pPr>
        <w:pStyle w:val="ProductList-Offering1Heading"/>
        <w:outlineLvl w:val="1"/>
      </w:pPr>
      <w:bookmarkStart w:id="437" w:name="_Sec901"/>
      <w:r>
        <w:t>Envio e Título</w:t>
      </w:r>
      <w:bookmarkEnd w:id="437"/>
      <w:r>
        <w:fldChar w:fldCharType="begin"/>
      </w:r>
      <w:r>
        <w:instrText xml:space="preserve"> TC "</w:instrText>
      </w:r>
      <w:bookmarkStart w:id="438" w:name="_Toc452110562"/>
      <w:r>
        <w:instrText>Envio e Título</w:instrText>
      </w:r>
      <w:bookmarkEnd w:id="438"/>
      <w:r>
        <w:instrText>" \l 2</w:instrText>
      </w:r>
      <w:r>
        <w:fldChar w:fldCharType="end"/>
      </w:r>
    </w:p>
    <w:p w:rsidR="00D87CDE" w:rsidRDefault="00AC602F">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D87CDE" w:rsidRDefault="00AC602F">
      <w:pPr>
        <w:pStyle w:val="ProductList-Offering1Heading"/>
        <w:outlineLvl w:val="1"/>
      </w:pPr>
      <w:bookmarkStart w:id="439" w:name="_Sec902"/>
      <w:r>
        <w:t>Software de Matriz de Armazenamento</w:t>
      </w:r>
      <w:bookmarkEnd w:id="439"/>
      <w:r>
        <w:fldChar w:fldCharType="begin"/>
      </w:r>
      <w:r>
        <w:instrText xml:space="preserve"> TC "</w:instrText>
      </w:r>
      <w:bookmarkStart w:id="440" w:name="_Toc452110563"/>
      <w:r>
        <w:instrText>Software de Matriz de Armazenamento</w:instrText>
      </w:r>
      <w:bookmarkEnd w:id="440"/>
      <w:r>
        <w:instrText>" \l 2</w:instrText>
      </w:r>
      <w:r>
        <w:fldChar w:fldCharType="end"/>
      </w:r>
    </w:p>
    <w:p w:rsidR="00D87CDE" w:rsidRDefault="00AC602F">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D87CDE" w:rsidRDefault="00D87CDE">
      <w:pPr>
        <w:pStyle w:val="ProductList-Body"/>
      </w:pPr>
    </w:p>
    <w:p w:rsidR="00D87CDE" w:rsidRDefault="00AC602F">
      <w:pPr>
        <w:pStyle w:val="ProductList-ClauseHeading"/>
        <w:outlineLvl w:val="2"/>
      </w:pPr>
      <w:r>
        <w:t>Restrições</w:t>
      </w:r>
    </w:p>
    <w:p w:rsidR="00D87CDE" w:rsidRDefault="00AC602F">
      <w:pPr>
        <w:pStyle w:val="ProductList-Body"/>
      </w:pPr>
      <w:r>
        <w:t>O Cliente não pode utilizar o Software de Matriz de Armazenamento para comparações ou “referências”, exceto para fins internos do Cliente ou para publicar ou divulgar os resultados das mesmas.</w:t>
      </w:r>
    </w:p>
    <w:p w:rsidR="00D87CDE" w:rsidRDefault="00D87CDE">
      <w:pPr>
        <w:pStyle w:val="ProductList-Body"/>
      </w:pPr>
    </w:p>
    <w:p w:rsidR="00D87CDE" w:rsidRDefault="00AC602F">
      <w:pPr>
        <w:pStyle w:val="ProductList-ClauseHeading"/>
        <w:outlineLvl w:val="2"/>
      </w:pPr>
      <w:r>
        <w:t>Determinado Software Open Source de Terceiros</w:t>
      </w:r>
    </w:p>
    <w:p w:rsidR="00D87CDE" w:rsidRDefault="00AC602F">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39">
        <w:r>
          <w:rPr>
            <w:color w:val="00467F"/>
            <w:u w:val="single"/>
          </w:rPr>
          <w:t>http://go.microsoft.com/fwlink/?LinkId=627000</w:t>
        </w:r>
      </w:hyperlink>
      <w:r>
        <w:t xml:space="preserve"> e é licenciado para o Cliente em conformidade com as licenças open source aplicáveis.</w:t>
      </w:r>
    </w:p>
    <w:p w:rsidR="00D87CDE" w:rsidRDefault="00D87CDE">
      <w:pPr>
        <w:pStyle w:val="ProductList-Body"/>
      </w:pPr>
    </w:p>
    <w:p w:rsidR="00D87CDE" w:rsidRDefault="00AC602F">
      <w:pPr>
        <w:pStyle w:val="ProductList-ClauseHeading"/>
        <w:outlineLvl w:val="2"/>
      </w:pPr>
      <w:r>
        <w:t>Ativação/Consentimento para Serviços baseados na Internet</w:t>
      </w:r>
    </w:p>
    <w:p w:rsidR="00D87CDE" w:rsidRDefault="00AC602F">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D87CDE" w:rsidRDefault="00D87CDE">
      <w:pPr>
        <w:pStyle w:val="ProductList-Body"/>
      </w:pPr>
    </w:p>
    <w:p w:rsidR="00D87CDE" w:rsidRDefault="00AC602F">
      <w:pPr>
        <w:pStyle w:val="ProductList-ClauseHeading"/>
        <w:outlineLvl w:val="2"/>
      </w:pPr>
      <w:r>
        <w:t>Atualizações do Software de Matriz de Armazenamento</w:t>
      </w:r>
    </w:p>
    <w:p w:rsidR="00D87CDE" w:rsidRDefault="00AC602F">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D87CDE" w:rsidRDefault="00D87CDE">
      <w:pPr>
        <w:pStyle w:val="ProductList-Body"/>
      </w:pPr>
    </w:p>
    <w:p w:rsidR="00D87CDE" w:rsidRDefault="00AC602F">
      <w:pPr>
        <w:pStyle w:val="ProductList-Offering1Heading"/>
        <w:outlineLvl w:val="1"/>
      </w:pPr>
      <w:bookmarkStart w:id="441" w:name="_Sec903"/>
      <w:r>
        <w:t>Garantia de Hardware Limitada</w:t>
      </w:r>
      <w:bookmarkEnd w:id="441"/>
      <w:r>
        <w:fldChar w:fldCharType="begin"/>
      </w:r>
      <w:r>
        <w:instrText xml:space="preserve"> TC "</w:instrText>
      </w:r>
      <w:bookmarkStart w:id="442" w:name="_Toc452110564"/>
      <w:r>
        <w:instrText>Garantia de Hardware Limitada</w:instrText>
      </w:r>
      <w:bookmarkEnd w:id="442"/>
      <w:r>
        <w:instrText>" \l 2</w:instrText>
      </w:r>
      <w:r>
        <w:fldChar w:fldCharType="end"/>
      </w:r>
    </w:p>
    <w:p w:rsidR="00D87CDE" w:rsidRDefault="00AC602F">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D87CDE" w:rsidRDefault="00AC602F">
      <w:pPr>
        <w:pStyle w:val="ProductList-Offering1Heading"/>
        <w:outlineLvl w:val="1"/>
      </w:pPr>
      <w:bookmarkStart w:id="443" w:name="_Sec904"/>
      <w:r>
        <w:t>Indemnização. Defesa de ações judiciais por terceiros</w:t>
      </w:r>
      <w:bookmarkEnd w:id="443"/>
      <w:r>
        <w:fldChar w:fldCharType="begin"/>
      </w:r>
      <w:r>
        <w:instrText xml:space="preserve"> TC "</w:instrText>
      </w:r>
      <w:bookmarkStart w:id="444" w:name="_Toc452110565"/>
      <w:r>
        <w:instrText>Indemnização. Defesa de ações judiciais por terceiros</w:instrText>
      </w:r>
      <w:bookmarkEnd w:id="444"/>
      <w:r>
        <w:instrText>" \l 2</w:instrText>
      </w:r>
      <w:r>
        <w:fldChar w:fldCharType="end"/>
      </w:r>
    </w:p>
    <w:p w:rsidR="00D87CDE" w:rsidRDefault="00AC602F">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D87CDE" w:rsidRDefault="00AC602F">
      <w:pPr>
        <w:pStyle w:val="ProductList-Offering1Heading"/>
        <w:outlineLvl w:val="1"/>
      </w:pPr>
      <w:bookmarkStart w:id="445" w:name="_Sec905"/>
      <w:r>
        <w:t>Limitação de Responsabilidade</w:t>
      </w:r>
      <w:bookmarkEnd w:id="445"/>
      <w:r>
        <w:fldChar w:fldCharType="begin"/>
      </w:r>
      <w:r>
        <w:instrText xml:space="preserve"> TC "</w:instrText>
      </w:r>
      <w:bookmarkStart w:id="446" w:name="_Toc452110566"/>
      <w:r>
        <w:instrText>Limitação de Responsabilidade</w:instrText>
      </w:r>
      <w:bookmarkEnd w:id="446"/>
      <w:r>
        <w:instrText>" \l 2</w:instrText>
      </w:r>
      <w:r>
        <w:fldChar w:fldCharType="end"/>
      </w:r>
    </w:p>
    <w:p w:rsidR="00D87CDE" w:rsidRDefault="00AC602F">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D87CDE" w:rsidRDefault="00AC602F">
      <w:pPr>
        <w:pStyle w:val="ProductList-Offering1Heading"/>
        <w:outlineLvl w:val="1"/>
      </w:pPr>
      <w:bookmarkStart w:id="447" w:name="_Sec906"/>
      <w:r>
        <w:t>Leis de Controlo à Exportação dos EUA</w:t>
      </w:r>
      <w:bookmarkEnd w:id="447"/>
      <w:r>
        <w:fldChar w:fldCharType="begin"/>
      </w:r>
      <w:r>
        <w:instrText xml:space="preserve"> TC "</w:instrText>
      </w:r>
      <w:bookmarkStart w:id="448" w:name="_Toc452110567"/>
      <w:r>
        <w:instrText>Leis de Controlo à Exportação dos EUA</w:instrText>
      </w:r>
      <w:bookmarkEnd w:id="448"/>
      <w:r>
        <w:instrText>" \l 2</w:instrText>
      </w:r>
      <w:r>
        <w:fldChar w:fldCharType="end"/>
      </w:r>
    </w:p>
    <w:p w:rsidR="00D87CDE" w:rsidRDefault="00AC602F">
      <w:pPr>
        <w:pStyle w:val="ProductList-Body"/>
      </w:pPr>
      <w:r>
        <w:t>As Matrizes de Armazenamento estão sujeitas às disposições no contrato de licenciamento em volume do Cliente relativamente à restrições à exportação dos E.U.A.</w:t>
      </w:r>
    </w:p>
    <w:p w:rsidR="00D87CDE" w:rsidRDefault="00AC602F">
      <w:pPr>
        <w:pStyle w:val="ProductList-Offering1Heading"/>
        <w:outlineLvl w:val="1"/>
      </w:pPr>
      <w:bookmarkStart w:id="449" w:name="_Sec907"/>
      <w:r>
        <w:t>Recolha de Informações de Diagnóstico</w:t>
      </w:r>
      <w:bookmarkEnd w:id="449"/>
      <w:r>
        <w:fldChar w:fldCharType="begin"/>
      </w:r>
      <w:r>
        <w:instrText xml:space="preserve"> TC "</w:instrText>
      </w:r>
      <w:bookmarkStart w:id="450" w:name="_Toc452110568"/>
      <w:r>
        <w:instrText>Recolha de Informações de Diagnóstico</w:instrText>
      </w:r>
      <w:bookmarkEnd w:id="450"/>
      <w:r>
        <w:instrText>" \l 2</w:instrText>
      </w:r>
      <w:r>
        <w:fldChar w:fldCharType="end"/>
      </w:r>
    </w:p>
    <w:p w:rsidR="00D87CDE" w:rsidRDefault="00AC602F">
      <w:pPr>
        <w:pStyle w:val="ProductList-Body"/>
      </w:pPr>
      <w:r>
        <w:t>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https://www.microsoft.com/en-us/privacystatement.</w:t>
      </w:r>
    </w:p>
    <w:p w:rsidR="00D87CDE" w:rsidRDefault="00AC602F">
      <w:pPr>
        <w:pStyle w:val="ProductList-Offering1Heading"/>
        <w:outlineLvl w:val="1"/>
      </w:pPr>
      <w:bookmarkStart w:id="451" w:name="_Sec908"/>
      <w:r>
        <w:t>Utilização por parte do Governo</w:t>
      </w:r>
      <w:bookmarkEnd w:id="451"/>
      <w:r>
        <w:fldChar w:fldCharType="begin"/>
      </w:r>
      <w:r>
        <w:instrText xml:space="preserve"> TC "</w:instrText>
      </w:r>
      <w:bookmarkStart w:id="452" w:name="_Toc452110569"/>
      <w:r>
        <w:instrText>Utilização por parte do Governo</w:instrText>
      </w:r>
      <w:bookmarkEnd w:id="452"/>
      <w:r>
        <w:instrText>" \l 2</w:instrText>
      </w:r>
      <w:r>
        <w:fldChar w:fldCharType="end"/>
      </w:r>
    </w:p>
    <w:p w:rsidR="00D87CDE" w:rsidRDefault="00AC602F">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D87CDE" w:rsidRDefault="00D87CDE">
      <w:pPr>
        <w:pStyle w:val="ProductList-Body"/>
        <w:jc w:val="right"/>
      </w:pPr>
    </w:p>
    <w:tbl>
      <w:tblPr>
        <w:tblStyle w:val="PURTable"/>
        <w:tblW w:w="0" w:type="dxa"/>
        <w:tblLook w:val="04A0" w:firstRow="1" w:lastRow="0" w:firstColumn="1" w:lastColumn="0" w:noHBand="0" w:noVBand="1"/>
      </w:tblPr>
      <w:tblGrid>
        <w:gridCol w:w="10800"/>
      </w:tblGrid>
      <w:tr w:rsidR="00D87C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CDE" w:rsidRDefault="0050418C">
            <w:pPr>
              <w:pStyle w:val="ProductList-TableBody"/>
              <w:jc w:val="right"/>
            </w:pPr>
            <w:hyperlink w:anchor="_Sec842">
              <w:r w:rsidR="00AC602F">
                <w:rPr>
                  <w:color w:val="00467F"/>
                  <w:sz w:val="14"/>
                  <w:u w:val="single"/>
                </w:rPr>
                <w:t>Índice</w:t>
              </w:r>
            </w:hyperlink>
            <w:r w:rsidR="00AC602F">
              <w:rPr>
                <w:sz w:val="14"/>
              </w:rPr>
              <w:t>/</w:t>
            </w:r>
            <w:hyperlink w:anchor="_Sec549">
              <w:r w:rsidR="00AC602F">
                <w:rPr>
                  <w:color w:val="00467F"/>
                  <w:sz w:val="14"/>
                  <w:u w:val="single"/>
                </w:rPr>
                <w:t>Glossário</w:t>
              </w:r>
            </w:hyperlink>
            <w:r w:rsidR="00AC602F">
              <w:rPr>
                <w:sz w:val="14"/>
              </w:rPr>
              <w:t>/</w:t>
            </w:r>
            <w:hyperlink w:anchor="_Sec844">
              <w:r w:rsidR="00AC602F">
                <w:rPr>
                  <w:color w:val="00467F"/>
                  <w:sz w:val="14"/>
                  <w:u w:val="single"/>
                </w:rPr>
                <w:t>Índice Remissivo</w:t>
              </w:r>
            </w:hyperlink>
          </w:p>
        </w:tc>
      </w:tr>
    </w:tbl>
    <w:p w:rsidR="00D87CDE" w:rsidRDefault="00D87CDE">
      <w:pPr>
        <w:pStyle w:val="ProductList-Body"/>
      </w:pPr>
    </w:p>
    <w:p w:rsidR="00D87CDE" w:rsidRDefault="00D87CDE">
      <w:pPr>
        <w:sectPr w:rsidR="00D87CDE">
          <w:headerReference w:type="default" r:id="rId140"/>
          <w:footerReference w:type="default" r:id="rId141"/>
          <w:type w:val="continuous"/>
          <w:pgSz w:w="12240" w:h="15840" w:code="1"/>
          <w:pgMar w:top="1170" w:right="720" w:bottom="720" w:left="720" w:header="432" w:footer="288" w:gutter="0"/>
          <w:cols w:space="360"/>
        </w:sectPr>
      </w:pPr>
    </w:p>
    <w:bookmarkEnd w:id="433"/>
    <w:p w:rsidR="00D87CDE" w:rsidRDefault="00AC602F">
      <w:pPr>
        <w:pStyle w:val="ProductList-SectionHeading"/>
        <w:pageBreakBefore/>
        <w:outlineLvl w:val="0"/>
      </w:pPr>
      <w:r>
        <w:t>Índice</w:t>
      </w:r>
      <w:r>
        <w:fldChar w:fldCharType="begin"/>
      </w:r>
      <w:r>
        <w:instrText xml:space="preserve"> TC "</w:instrText>
      </w:r>
      <w:bookmarkStart w:id="453" w:name="_Toc452110570"/>
      <w:r>
        <w:instrText>Índice</w:instrText>
      </w:r>
      <w:bookmarkEnd w:id="453"/>
      <w:r>
        <w:instrText>" \l 1</w:instrText>
      </w:r>
      <w:r>
        <w:fldChar w:fldCharType="end"/>
      </w:r>
    </w:p>
    <w:p w:rsidR="00D87CDE" w:rsidRDefault="00D87CDE">
      <w:pPr>
        <w:pStyle w:val="ProductList-Body"/>
      </w:pPr>
    </w:p>
    <w:p w:rsidR="00D87CDE" w:rsidRDefault="00D87CDE">
      <w:pPr>
        <w:sectPr w:rsidR="00D87CDE">
          <w:headerReference w:type="default" r:id="rId142"/>
          <w:footerReference w:type="default" r:id="rId143"/>
          <w:type w:val="continuous"/>
          <w:pgSz w:w="12240" w:h="15840" w:code="1"/>
          <w:pgMar w:top="1170" w:right="720" w:bottom="720" w:left="720" w:header="432" w:footer="288" w:gutter="0"/>
          <w:cols w:space="360"/>
        </w:sectPr>
      </w:pPr>
    </w:p>
    <w:p w:rsidR="00AC602F" w:rsidRDefault="00AC602F">
      <w:pPr>
        <w:pStyle w:val="ProductList-Body"/>
        <w:rPr>
          <w:noProof/>
        </w:rPr>
        <w:sectPr w:rsidR="00AC602F" w:rsidSect="00AC602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C602F" w:rsidRDefault="00AC602F">
      <w:pPr>
        <w:pStyle w:val="Index1"/>
        <w:tabs>
          <w:tab w:val="right" w:pos="5030"/>
        </w:tabs>
        <w:rPr>
          <w:noProof/>
        </w:rPr>
      </w:pPr>
      <w:r>
        <w:rPr>
          <w:noProof/>
        </w:rPr>
        <w:t>•Windows Server 2012 CAL, 47</w:t>
      </w:r>
    </w:p>
    <w:p w:rsidR="00AC602F" w:rsidRDefault="00AC602F">
      <w:pPr>
        <w:pStyle w:val="Index1"/>
        <w:tabs>
          <w:tab w:val="right" w:pos="5030"/>
        </w:tabs>
        <w:rPr>
          <w:noProof/>
        </w:rPr>
      </w:pPr>
      <w:r>
        <w:rPr>
          <w:noProof/>
        </w:rPr>
        <w:t>Access 2016, 24</w:t>
      </w:r>
    </w:p>
    <w:p w:rsidR="00AC602F" w:rsidRDefault="00AC602F">
      <w:pPr>
        <w:pStyle w:val="Index1"/>
        <w:tabs>
          <w:tab w:val="right" w:pos="5030"/>
        </w:tabs>
        <w:rPr>
          <w:noProof/>
        </w:rPr>
      </w:pPr>
      <w:r>
        <w:rPr>
          <w:noProof/>
        </w:rPr>
        <w:t>API Microsoft Translator, 71</w:t>
      </w:r>
    </w:p>
    <w:p w:rsidR="00AC602F" w:rsidRDefault="00AC602F">
      <w:pPr>
        <w:pStyle w:val="Index1"/>
        <w:tabs>
          <w:tab w:val="right" w:pos="5030"/>
        </w:tabs>
        <w:rPr>
          <w:noProof/>
        </w:rPr>
      </w:pPr>
      <w:r>
        <w:rPr>
          <w:noProof/>
        </w:rPr>
        <w:t>Apple Macintosh, 41</w:t>
      </w:r>
    </w:p>
    <w:p w:rsidR="00AC602F" w:rsidRDefault="00AC602F">
      <w:pPr>
        <w:pStyle w:val="Index1"/>
        <w:tabs>
          <w:tab w:val="right" w:pos="5030"/>
        </w:tabs>
        <w:rPr>
          <w:noProof/>
        </w:rPr>
      </w:pPr>
      <w:r>
        <w:rPr>
          <w:noProof/>
        </w:rPr>
        <w:t>Arquivo de Exchange Online para Exchange Online, 67</w:t>
      </w:r>
    </w:p>
    <w:p w:rsidR="00AC602F" w:rsidRDefault="00AC602F">
      <w:pPr>
        <w:pStyle w:val="Index1"/>
        <w:tabs>
          <w:tab w:val="right" w:pos="5030"/>
        </w:tabs>
        <w:rPr>
          <w:noProof/>
        </w:rPr>
      </w:pPr>
      <w:r>
        <w:rPr>
          <w:noProof/>
        </w:rPr>
        <w:t>Arquivo de Exchange Online para Exchange Server, 16, 67</w:t>
      </w:r>
    </w:p>
    <w:p w:rsidR="00AC602F" w:rsidRDefault="00AC602F">
      <w:pPr>
        <w:pStyle w:val="Index1"/>
        <w:tabs>
          <w:tab w:val="right" w:pos="5030"/>
        </w:tabs>
        <w:rPr>
          <w:noProof/>
        </w:rPr>
      </w:pPr>
      <w:r>
        <w:rPr>
          <w:noProof/>
        </w:rPr>
        <w:t>Atualização de Versão para o Windows 10 Pro, 40</w:t>
      </w:r>
    </w:p>
    <w:p w:rsidR="00AC602F" w:rsidRDefault="00AC602F">
      <w:pPr>
        <w:pStyle w:val="Index1"/>
        <w:tabs>
          <w:tab w:val="right" w:pos="5030"/>
        </w:tabs>
        <w:rPr>
          <w:noProof/>
        </w:rPr>
      </w:pPr>
      <w:r>
        <w:rPr>
          <w:noProof/>
        </w:rPr>
        <w:t>Atualização e SA do Windows 8.1 Enterprise Por Utilizador (de SA Existente), 58</w:t>
      </w:r>
    </w:p>
    <w:p w:rsidR="00AC602F" w:rsidRDefault="00AC602F">
      <w:pPr>
        <w:pStyle w:val="Index1"/>
        <w:tabs>
          <w:tab w:val="right" w:pos="5030"/>
        </w:tabs>
        <w:rPr>
          <w:noProof/>
        </w:rPr>
      </w:pPr>
      <w:r>
        <w:rPr>
          <w:noProof/>
        </w:rPr>
        <w:t>Azure Active Directory Basic (SL de Utilizador), 55</w:t>
      </w:r>
    </w:p>
    <w:p w:rsidR="00AC602F" w:rsidRDefault="00AC602F">
      <w:pPr>
        <w:pStyle w:val="Index1"/>
        <w:tabs>
          <w:tab w:val="right" w:pos="5030"/>
        </w:tabs>
        <w:rPr>
          <w:noProof/>
        </w:rPr>
      </w:pPr>
      <w:r>
        <w:rPr>
          <w:noProof/>
        </w:rPr>
        <w:t>Azure Active Directory Premium (SL de Utilizador), 55</w:t>
      </w:r>
    </w:p>
    <w:p w:rsidR="00AC602F" w:rsidRDefault="00AC602F">
      <w:pPr>
        <w:pStyle w:val="Index1"/>
        <w:tabs>
          <w:tab w:val="right" w:pos="5030"/>
        </w:tabs>
        <w:rPr>
          <w:noProof/>
        </w:rPr>
      </w:pPr>
      <w:r>
        <w:rPr>
          <w:noProof/>
        </w:rPr>
        <w:t>Azure RemoteApp, 56</w:t>
      </w:r>
    </w:p>
    <w:p w:rsidR="00AC602F" w:rsidRDefault="00AC602F">
      <w:pPr>
        <w:pStyle w:val="Index1"/>
        <w:tabs>
          <w:tab w:val="right" w:pos="5030"/>
        </w:tabs>
        <w:rPr>
          <w:noProof/>
        </w:rPr>
      </w:pPr>
      <w:r>
        <w:rPr>
          <w:noProof/>
        </w:rPr>
        <w:t>Azure Site Recovery, 88</w:t>
      </w:r>
    </w:p>
    <w:p w:rsidR="00AC602F" w:rsidRDefault="00AC602F">
      <w:pPr>
        <w:pStyle w:val="Index1"/>
        <w:tabs>
          <w:tab w:val="right" w:pos="5030"/>
        </w:tabs>
        <w:rPr>
          <w:noProof/>
        </w:rPr>
      </w:pPr>
      <w:r>
        <w:rPr>
          <w:noProof/>
        </w:rPr>
        <w:t>Bing Maps Asset Management for Windows Europa ou América do Norte, 70</w:t>
      </w:r>
    </w:p>
    <w:p w:rsidR="00AC602F" w:rsidRDefault="00AC602F">
      <w:pPr>
        <w:pStyle w:val="Index1"/>
        <w:tabs>
          <w:tab w:val="right" w:pos="5030"/>
        </w:tabs>
        <w:rPr>
          <w:noProof/>
        </w:rPr>
      </w:pPr>
      <w:r>
        <w:rPr>
          <w:noProof/>
        </w:rPr>
        <w:t>BizTalk Server, 86</w:t>
      </w:r>
    </w:p>
    <w:p w:rsidR="00AC602F" w:rsidRDefault="00AC602F">
      <w:pPr>
        <w:pStyle w:val="Index1"/>
        <w:tabs>
          <w:tab w:val="right" w:pos="5030"/>
        </w:tabs>
        <w:rPr>
          <w:noProof/>
        </w:rPr>
      </w:pPr>
      <w:r>
        <w:rPr>
          <w:noProof/>
        </w:rPr>
        <w:t>BizTalk Server 2013, 15</w:t>
      </w:r>
    </w:p>
    <w:p w:rsidR="00AC602F" w:rsidRDefault="00AC602F">
      <w:pPr>
        <w:pStyle w:val="Index1"/>
        <w:tabs>
          <w:tab w:val="right" w:pos="5030"/>
        </w:tabs>
        <w:rPr>
          <w:noProof/>
        </w:rPr>
      </w:pPr>
      <w:r>
        <w:rPr>
          <w:noProof/>
        </w:rPr>
        <w:t>BizTalk Server 2013 R2 Branch Edition, 14</w:t>
      </w:r>
    </w:p>
    <w:p w:rsidR="00AC602F" w:rsidRDefault="00AC602F">
      <w:pPr>
        <w:pStyle w:val="Index1"/>
        <w:tabs>
          <w:tab w:val="right" w:pos="5030"/>
        </w:tabs>
        <w:rPr>
          <w:noProof/>
        </w:rPr>
      </w:pPr>
      <w:r>
        <w:rPr>
          <w:noProof/>
        </w:rPr>
        <w:t>BizTalk Server 2013 R2 Branch IDC, 15</w:t>
      </w:r>
    </w:p>
    <w:p w:rsidR="00AC602F" w:rsidRDefault="00AC602F">
      <w:pPr>
        <w:pStyle w:val="Index1"/>
        <w:tabs>
          <w:tab w:val="right" w:pos="5030"/>
        </w:tabs>
        <w:rPr>
          <w:noProof/>
        </w:rPr>
      </w:pPr>
      <w:r>
        <w:rPr>
          <w:noProof/>
        </w:rPr>
        <w:t>BizTalk Server 2013 R2 Developer, 15</w:t>
      </w:r>
    </w:p>
    <w:p w:rsidR="00AC602F" w:rsidRDefault="00AC602F">
      <w:pPr>
        <w:pStyle w:val="Index1"/>
        <w:tabs>
          <w:tab w:val="right" w:pos="5030"/>
        </w:tabs>
        <w:rPr>
          <w:noProof/>
        </w:rPr>
      </w:pPr>
      <w:r>
        <w:rPr>
          <w:noProof/>
        </w:rPr>
        <w:t>BizTalk Server 2013 R2 Enterprise Edition, 15</w:t>
      </w:r>
    </w:p>
    <w:p w:rsidR="00AC602F" w:rsidRDefault="00AC602F">
      <w:pPr>
        <w:pStyle w:val="Index1"/>
        <w:tabs>
          <w:tab w:val="right" w:pos="5030"/>
        </w:tabs>
        <w:rPr>
          <w:noProof/>
        </w:rPr>
      </w:pPr>
      <w:r>
        <w:rPr>
          <w:noProof/>
        </w:rPr>
        <w:t>BizTalk Server 2013 R2 Standard Edition, 15</w:t>
      </w:r>
    </w:p>
    <w:p w:rsidR="00AC602F" w:rsidRDefault="00AC602F">
      <w:pPr>
        <w:pStyle w:val="Index1"/>
        <w:tabs>
          <w:tab w:val="right" w:pos="5030"/>
        </w:tabs>
        <w:rPr>
          <w:noProof/>
        </w:rPr>
      </w:pPr>
      <w:r>
        <w:rPr>
          <w:noProof/>
        </w:rPr>
        <w:t>BizTalk Server 2013 R2 Standard Edition IDC, 15</w:t>
      </w:r>
    </w:p>
    <w:p w:rsidR="00AC602F" w:rsidRDefault="00AC602F">
      <w:pPr>
        <w:pStyle w:val="Index1"/>
        <w:tabs>
          <w:tab w:val="right" w:pos="5030"/>
        </w:tabs>
        <w:rPr>
          <w:noProof/>
        </w:rPr>
      </w:pPr>
      <w:r>
        <w:rPr>
          <w:noProof/>
        </w:rPr>
        <w:t>BizTalk Server Branch, 88</w:t>
      </w:r>
    </w:p>
    <w:p w:rsidR="00AC602F" w:rsidRDefault="00AC602F">
      <w:pPr>
        <w:pStyle w:val="Index1"/>
        <w:tabs>
          <w:tab w:val="right" w:pos="5030"/>
        </w:tabs>
        <w:rPr>
          <w:noProof/>
        </w:rPr>
      </w:pPr>
      <w:r>
        <w:rPr>
          <w:noProof/>
        </w:rPr>
        <w:t>BizTalk Server Enterprise, 88</w:t>
      </w:r>
    </w:p>
    <w:p w:rsidR="00AC602F" w:rsidRDefault="00AC602F">
      <w:pPr>
        <w:pStyle w:val="Index1"/>
        <w:tabs>
          <w:tab w:val="right" w:pos="5030"/>
        </w:tabs>
        <w:rPr>
          <w:noProof/>
        </w:rPr>
      </w:pPr>
      <w:r>
        <w:rPr>
          <w:noProof/>
        </w:rPr>
        <w:t>BizTalk Server Standard, 88</w:t>
      </w:r>
    </w:p>
    <w:p w:rsidR="00AC602F" w:rsidRDefault="00AC602F">
      <w:pPr>
        <w:pStyle w:val="Index1"/>
        <w:tabs>
          <w:tab w:val="right" w:pos="5030"/>
        </w:tabs>
        <w:rPr>
          <w:noProof/>
        </w:rPr>
      </w:pPr>
      <w:r>
        <w:rPr>
          <w:noProof/>
        </w:rPr>
        <w:t>Business Productivity Online Deskless Suite, 66</w:t>
      </w:r>
    </w:p>
    <w:p w:rsidR="00AC602F" w:rsidRDefault="00AC602F">
      <w:pPr>
        <w:pStyle w:val="Index1"/>
        <w:tabs>
          <w:tab w:val="right" w:pos="5030"/>
        </w:tabs>
        <w:rPr>
          <w:noProof/>
        </w:rPr>
      </w:pPr>
      <w:r>
        <w:rPr>
          <w:noProof/>
        </w:rPr>
        <w:t>CAL Adicional de Microsoft Dynamics CRM 2016 Basic, 21</w:t>
      </w:r>
    </w:p>
    <w:p w:rsidR="00AC602F" w:rsidRDefault="00AC602F">
      <w:pPr>
        <w:pStyle w:val="Index1"/>
        <w:tabs>
          <w:tab w:val="right" w:pos="5030"/>
        </w:tabs>
        <w:rPr>
          <w:noProof/>
        </w:rPr>
      </w:pPr>
      <w:r>
        <w:rPr>
          <w:noProof/>
        </w:rPr>
        <w:t>CAL de Dispositivo do Microsoft Dynamics AX Task, 59</w:t>
      </w:r>
    </w:p>
    <w:p w:rsidR="00AC602F" w:rsidRDefault="00AC602F">
      <w:pPr>
        <w:pStyle w:val="Index1"/>
        <w:tabs>
          <w:tab w:val="right" w:pos="5030"/>
        </w:tabs>
        <w:rPr>
          <w:noProof/>
        </w:rPr>
      </w:pPr>
      <w:r>
        <w:rPr>
          <w:noProof/>
        </w:rPr>
        <w:t>CAL de Dispositivo do Microsoft Dynamics AX Task Additive, 59</w:t>
      </w:r>
    </w:p>
    <w:p w:rsidR="00AC602F" w:rsidRDefault="00AC602F">
      <w:pPr>
        <w:pStyle w:val="Index1"/>
        <w:tabs>
          <w:tab w:val="right" w:pos="5030"/>
        </w:tabs>
        <w:rPr>
          <w:noProof/>
        </w:rPr>
      </w:pPr>
      <w:r>
        <w:rPr>
          <w:noProof/>
        </w:rPr>
        <w:t>CAL de Dispositivo do Project Server 2016, 24</w:t>
      </w:r>
    </w:p>
    <w:p w:rsidR="00AC602F" w:rsidRDefault="00AC602F">
      <w:pPr>
        <w:pStyle w:val="Index1"/>
        <w:tabs>
          <w:tab w:val="right" w:pos="5030"/>
        </w:tabs>
        <w:rPr>
          <w:noProof/>
        </w:rPr>
      </w:pPr>
      <w:r>
        <w:rPr>
          <w:noProof/>
        </w:rPr>
        <w:t>CAL de Serviços de Ambiente de Trabalho Remoto do Windows Server 2012, 47</w:t>
      </w:r>
    </w:p>
    <w:p w:rsidR="00AC602F" w:rsidRDefault="00AC602F">
      <w:pPr>
        <w:pStyle w:val="Index1"/>
        <w:tabs>
          <w:tab w:val="right" w:pos="5030"/>
        </w:tabs>
        <w:rPr>
          <w:noProof/>
        </w:rPr>
      </w:pPr>
      <w:r>
        <w:rPr>
          <w:noProof/>
        </w:rPr>
        <w:t>CAL de Utilizador do Microsoft Dynamics AX Task, 59</w:t>
      </w:r>
    </w:p>
    <w:p w:rsidR="00AC602F" w:rsidRDefault="00AC602F">
      <w:pPr>
        <w:pStyle w:val="Index1"/>
        <w:tabs>
          <w:tab w:val="right" w:pos="5030"/>
        </w:tabs>
        <w:rPr>
          <w:noProof/>
        </w:rPr>
      </w:pPr>
      <w:r>
        <w:rPr>
          <w:noProof/>
        </w:rPr>
        <w:t>CAL de Utilizador do Microsoft Dynamics AX Task Additive, 59</w:t>
      </w:r>
    </w:p>
    <w:p w:rsidR="00AC602F" w:rsidRDefault="00AC602F">
      <w:pPr>
        <w:pStyle w:val="Index1"/>
        <w:tabs>
          <w:tab w:val="right" w:pos="5030"/>
        </w:tabs>
        <w:rPr>
          <w:noProof/>
        </w:rPr>
      </w:pPr>
      <w:r>
        <w:rPr>
          <w:noProof/>
        </w:rPr>
        <w:t>CAL do Microsoft Identity Manager 2016, 23</w:t>
      </w:r>
    </w:p>
    <w:p w:rsidR="00AC602F" w:rsidRDefault="00AC602F">
      <w:pPr>
        <w:pStyle w:val="Index1"/>
        <w:tabs>
          <w:tab w:val="right" w:pos="5030"/>
        </w:tabs>
        <w:rPr>
          <w:noProof/>
        </w:rPr>
      </w:pPr>
      <w:r>
        <w:rPr>
          <w:noProof/>
        </w:rPr>
        <w:t>CAL para Serviços de Gestão de Direitos do Active Directory do Windows Server 2012, 47</w:t>
      </w:r>
    </w:p>
    <w:p w:rsidR="00AC602F" w:rsidRDefault="00AC602F">
      <w:pPr>
        <w:pStyle w:val="Index1"/>
        <w:tabs>
          <w:tab w:val="right" w:pos="5030"/>
        </w:tabs>
        <w:rPr>
          <w:noProof/>
        </w:rPr>
      </w:pPr>
      <w:r>
        <w:rPr>
          <w:noProof/>
        </w:rPr>
        <w:t>CAL para SQL Server 2016, 31</w:t>
      </w:r>
    </w:p>
    <w:p w:rsidR="00AC602F" w:rsidRDefault="00AC602F">
      <w:pPr>
        <w:pStyle w:val="Index1"/>
        <w:tabs>
          <w:tab w:val="right" w:pos="5030"/>
        </w:tabs>
        <w:rPr>
          <w:noProof/>
        </w:rPr>
      </w:pPr>
      <w:r>
        <w:rPr>
          <w:noProof/>
        </w:rPr>
        <w:t>CIS Datacenter, 86</w:t>
      </w:r>
    </w:p>
    <w:p w:rsidR="00AC602F" w:rsidRDefault="00AC602F">
      <w:pPr>
        <w:pStyle w:val="Index1"/>
        <w:tabs>
          <w:tab w:val="right" w:pos="5030"/>
        </w:tabs>
        <w:rPr>
          <w:noProof/>
        </w:rPr>
      </w:pPr>
      <w:r>
        <w:rPr>
          <w:noProof/>
        </w:rPr>
        <w:t>CIS Standard, 86</w:t>
      </w:r>
    </w:p>
    <w:p w:rsidR="00AC602F" w:rsidRDefault="00AC602F">
      <w:pPr>
        <w:pStyle w:val="Index1"/>
        <w:tabs>
          <w:tab w:val="right" w:pos="5030"/>
        </w:tabs>
        <w:rPr>
          <w:noProof/>
        </w:rPr>
      </w:pPr>
      <w:r>
        <w:rPr>
          <w:noProof/>
        </w:rPr>
        <w:t>clientes do SQL Server 2016 Enterprise, 31</w:t>
      </w:r>
    </w:p>
    <w:p w:rsidR="00AC602F" w:rsidRDefault="00AC602F">
      <w:pPr>
        <w:pStyle w:val="Index1"/>
        <w:tabs>
          <w:tab w:val="right" w:pos="5030"/>
        </w:tabs>
        <w:rPr>
          <w:noProof/>
        </w:rPr>
      </w:pPr>
      <w:r>
        <w:rPr>
          <w:noProof/>
        </w:rPr>
        <w:t>Communicator for Mac 2011, 26</w:t>
      </w:r>
    </w:p>
    <w:p w:rsidR="00AC602F" w:rsidRDefault="00AC602F">
      <w:pPr>
        <w:pStyle w:val="Index1"/>
        <w:tabs>
          <w:tab w:val="right" w:pos="5030"/>
        </w:tabs>
        <w:rPr>
          <w:noProof/>
        </w:rPr>
      </w:pPr>
      <w:r>
        <w:rPr>
          <w:noProof/>
        </w:rPr>
        <w:t>Compromisso Monetário StorSimple, 57</w:t>
      </w:r>
    </w:p>
    <w:p w:rsidR="00AC602F" w:rsidRDefault="00AC602F">
      <w:pPr>
        <w:pStyle w:val="Index1"/>
        <w:tabs>
          <w:tab w:val="right" w:pos="5030"/>
        </w:tabs>
        <w:rPr>
          <w:noProof/>
        </w:rPr>
      </w:pPr>
      <w:r>
        <w:rPr>
          <w:noProof/>
        </w:rPr>
        <w:t>Consumo RTPC do Skype para Empresas, 69</w:t>
      </w:r>
    </w:p>
    <w:p w:rsidR="00AC602F" w:rsidRDefault="00AC602F">
      <w:pPr>
        <w:pStyle w:val="Index1"/>
        <w:tabs>
          <w:tab w:val="right" w:pos="5030"/>
        </w:tabs>
        <w:rPr>
          <w:noProof/>
        </w:rPr>
      </w:pPr>
      <w:r>
        <w:rPr>
          <w:noProof/>
        </w:rPr>
        <w:t>Core CAL, 35, 54, 64, 82, 88</w:t>
      </w:r>
    </w:p>
    <w:p w:rsidR="00AC602F" w:rsidRDefault="00AC602F">
      <w:pPr>
        <w:pStyle w:val="Index1"/>
        <w:tabs>
          <w:tab w:val="right" w:pos="5030"/>
        </w:tabs>
        <w:rPr>
          <w:noProof/>
        </w:rPr>
      </w:pPr>
      <w:r>
        <w:rPr>
          <w:noProof/>
        </w:rPr>
        <w:t>Core CAL Bridge para Office 365, 65</w:t>
      </w:r>
    </w:p>
    <w:p w:rsidR="00AC602F" w:rsidRDefault="00AC602F">
      <w:pPr>
        <w:pStyle w:val="Index1"/>
        <w:tabs>
          <w:tab w:val="right" w:pos="5030"/>
        </w:tabs>
        <w:rPr>
          <w:noProof/>
        </w:rPr>
      </w:pPr>
      <w:r>
        <w:rPr>
          <w:noProof/>
        </w:rPr>
        <w:t>Core CAL Suite, 16</w:t>
      </w:r>
    </w:p>
    <w:p w:rsidR="00AC602F" w:rsidRDefault="00AC602F">
      <w:pPr>
        <w:pStyle w:val="Index1"/>
        <w:tabs>
          <w:tab w:val="right" w:pos="5030"/>
        </w:tabs>
        <w:rPr>
          <w:noProof/>
        </w:rPr>
      </w:pPr>
      <w:r>
        <w:rPr>
          <w:noProof/>
        </w:rPr>
        <w:t>Core CAL Suite Bridge para Enterprise Mobility Suite, 16</w:t>
      </w:r>
    </w:p>
    <w:p w:rsidR="00AC602F" w:rsidRDefault="00AC602F">
      <w:pPr>
        <w:pStyle w:val="Index1"/>
        <w:tabs>
          <w:tab w:val="right" w:pos="5030"/>
        </w:tabs>
        <w:rPr>
          <w:noProof/>
        </w:rPr>
      </w:pPr>
      <w:r>
        <w:rPr>
          <w:noProof/>
        </w:rPr>
        <w:t>Core CAL Suite Bridge para Microsoft Intune, 16</w:t>
      </w:r>
    </w:p>
    <w:p w:rsidR="00AC602F" w:rsidRDefault="00AC602F">
      <w:pPr>
        <w:pStyle w:val="Index1"/>
        <w:tabs>
          <w:tab w:val="right" w:pos="5030"/>
        </w:tabs>
        <w:rPr>
          <w:noProof/>
        </w:rPr>
      </w:pPr>
      <w:r>
        <w:rPr>
          <w:noProof/>
        </w:rPr>
        <w:t>Core CAL Suite Bridge para Office 365, 16, 54</w:t>
      </w:r>
    </w:p>
    <w:p w:rsidR="00AC602F" w:rsidRDefault="00AC602F">
      <w:pPr>
        <w:pStyle w:val="Index1"/>
        <w:tabs>
          <w:tab w:val="right" w:pos="5030"/>
        </w:tabs>
        <w:rPr>
          <w:noProof/>
        </w:rPr>
      </w:pPr>
      <w:r>
        <w:rPr>
          <w:noProof/>
        </w:rPr>
        <w:t>Core CAL Suite Bridge para Office 365 e Microsoft Intune, 16, 54</w:t>
      </w:r>
    </w:p>
    <w:p w:rsidR="00AC602F" w:rsidRDefault="00AC602F">
      <w:pPr>
        <w:pStyle w:val="Index1"/>
        <w:tabs>
          <w:tab w:val="right" w:pos="5030"/>
        </w:tabs>
        <w:rPr>
          <w:noProof/>
        </w:rPr>
      </w:pPr>
      <w:r>
        <w:rPr>
          <w:noProof/>
        </w:rPr>
        <w:t>Core Infrastructure Server Suite Datacenter, 18, 88</w:t>
      </w:r>
    </w:p>
    <w:p w:rsidR="00AC602F" w:rsidRDefault="00AC602F">
      <w:pPr>
        <w:pStyle w:val="Index1"/>
        <w:tabs>
          <w:tab w:val="right" w:pos="5030"/>
        </w:tabs>
        <w:rPr>
          <w:noProof/>
        </w:rPr>
      </w:pPr>
      <w:r>
        <w:rPr>
          <w:noProof/>
        </w:rPr>
        <w:t>Core Infrastructure Server Suite Standard, 17, 88</w:t>
      </w:r>
    </w:p>
    <w:p w:rsidR="00AC602F" w:rsidRDefault="00AC602F">
      <w:pPr>
        <w:pStyle w:val="Index1"/>
        <w:tabs>
          <w:tab w:val="right" w:pos="5030"/>
        </w:tabs>
        <w:rPr>
          <w:noProof/>
        </w:rPr>
      </w:pPr>
      <w:r>
        <w:rPr>
          <w:noProof/>
        </w:rPr>
        <w:t>Enterprise CAL, 35, 54, 65, 68, 82, 88</w:t>
      </w:r>
    </w:p>
    <w:p w:rsidR="00AC602F" w:rsidRDefault="00AC602F">
      <w:pPr>
        <w:pStyle w:val="Index1"/>
        <w:tabs>
          <w:tab w:val="right" w:pos="5030"/>
        </w:tabs>
        <w:rPr>
          <w:noProof/>
        </w:rPr>
      </w:pPr>
      <w:r>
        <w:rPr>
          <w:noProof/>
        </w:rPr>
        <w:t>Enterprise CAL Bridge para Enterprise Mobility Suite, 16</w:t>
      </w:r>
    </w:p>
    <w:p w:rsidR="00AC602F" w:rsidRDefault="00AC602F">
      <w:pPr>
        <w:pStyle w:val="Index1"/>
        <w:tabs>
          <w:tab w:val="right" w:pos="5030"/>
        </w:tabs>
        <w:rPr>
          <w:noProof/>
        </w:rPr>
      </w:pPr>
      <w:r>
        <w:rPr>
          <w:noProof/>
        </w:rPr>
        <w:t>Enterprise CAL Bridge para Enterprise Mobility Suite de SA Existente, 16</w:t>
      </w:r>
    </w:p>
    <w:p w:rsidR="00AC602F" w:rsidRDefault="00AC602F">
      <w:pPr>
        <w:pStyle w:val="Index1"/>
        <w:tabs>
          <w:tab w:val="right" w:pos="5030"/>
        </w:tabs>
        <w:rPr>
          <w:noProof/>
        </w:rPr>
      </w:pPr>
      <w:r>
        <w:rPr>
          <w:noProof/>
        </w:rPr>
        <w:t>Enterprise CAL Bridge para Office 365, 65</w:t>
      </w:r>
    </w:p>
    <w:p w:rsidR="00AC602F" w:rsidRDefault="00AC602F">
      <w:pPr>
        <w:pStyle w:val="Index1"/>
        <w:tabs>
          <w:tab w:val="right" w:pos="5030"/>
        </w:tabs>
        <w:rPr>
          <w:noProof/>
        </w:rPr>
      </w:pPr>
      <w:r>
        <w:rPr>
          <w:noProof/>
        </w:rPr>
        <w:t>Enterprise CAL Suite, 16</w:t>
      </w:r>
    </w:p>
    <w:p w:rsidR="00AC602F" w:rsidRDefault="00AC602F">
      <w:pPr>
        <w:pStyle w:val="Index1"/>
        <w:tabs>
          <w:tab w:val="right" w:pos="5030"/>
        </w:tabs>
        <w:rPr>
          <w:noProof/>
        </w:rPr>
      </w:pPr>
      <w:r>
        <w:rPr>
          <w:noProof/>
        </w:rPr>
        <w:t>Enterprise CAL Suite Bridge para Microsoft Intune, 16</w:t>
      </w:r>
    </w:p>
    <w:p w:rsidR="00AC602F" w:rsidRDefault="00AC602F">
      <w:pPr>
        <w:pStyle w:val="Index1"/>
        <w:tabs>
          <w:tab w:val="right" w:pos="5030"/>
        </w:tabs>
        <w:rPr>
          <w:noProof/>
        </w:rPr>
      </w:pPr>
      <w:r>
        <w:rPr>
          <w:noProof/>
        </w:rPr>
        <w:t>Enterprise CAL Suite Bridge para Office 365, 16, 54</w:t>
      </w:r>
    </w:p>
    <w:p w:rsidR="00AC602F" w:rsidRDefault="00AC602F">
      <w:pPr>
        <w:pStyle w:val="Index1"/>
        <w:tabs>
          <w:tab w:val="right" w:pos="5030"/>
        </w:tabs>
        <w:rPr>
          <w:noProof/>
        </w:rPr>
      </w:pPr>
      <w:r>
        <w:rPr>
          <w:noProof/>
        </w:rPr>
        <w:t>Enterprise CAL Suite Bridge para Office 365 de SA Existente, 16</w:t>
      </w:r>
    </w:p>
    <w:p w:rsidR="00AC602F" w:rsidRDefault="00AC602F">
      <w:pPr>
        <w:pStyle w:val="Index1"/>
        <w:tabs>
          <w:tab w:val="right" w:pos="5030"/>
        </w:tabs>
        <w:rPr>
          <w:noProof/>
        </w:rPr>
      </w:pPr>
      <w:r>
        <w:rPr>
          <w:noProof/>
        </w:rPr>
        <w:t>Enterprise CAL Suite Bridge para Office 365 e Microsoft Intune, 16, 54</w:t>
      </w:r>
    </w:p>
    <w:p w:rsidR="00AC602F" w:rsidRDefault="00AC602F">
      <w:pPr>
        <w:pStyle w:val="Index1"/>
        <w:tabs>
          <w:tab w:val="right" w:pos="5030"/>
        </w:tabs>
        <w:rPr>
          <w:noProof/>
        </w:rPr>
      </w:pPr>
      <w:r>
        <w:rPr>
          <w:noProof/>
        </w:rPr>
        <w:t>Enterprise Cloud Suite, 58</w:t>
      </w:r>
    </w:p>
    <w:p w:rsidR="00AC602F" w:rsidRDefault="00AC602F">
      <w:pPr>
        <w:pStyle w:val="Index1"/>
        <w:tabs>
          <w:tab w:val="right" w:pos="5030"/>
        </w:tabs>
        <w:rPr>
          <w:noProof/>
        </w:rPr>
      </w:pPr>
      <w:r>
        <w:rPr>
          <w:noProof/>
        </w:rPr>
        <w:t>Enterprise Cloud Suite de SA Existente, 58</w:t>
      </w:r>
    </w:p>
    <w:p w:rsidR="00AC602F" w:rsidRDefault="00AC602F">
      <w:pPr>
        <w:pStyle w:val="Index1"/>
        <w:tabs>
          <w:tab w:val="right" w:pos="5030"/>
        </w:tabs>
        <w:rPr>
          <w:noProof/>
        </w:rPr>
      </w:pPr>
      <w:r>
        <w:rPr>
          <w:noProof/>
        </w:rPr>
        <w:t>Enterprise Mobility Suite, 17, 54, 58, 65</w:t>
      </w:r>
    </w:p>
    <w:p w:rsidR="00AC602F" w:rsidRDefault="00AC602F">
      <w:pPr>
        <w:pStyle w:val="Index1"/>
        <w:tabs>
          <w:tab w:val="right" w:pos="5030"/>
        </w:tabs>
        <w:rPr>
          <w:noProof/>
        </w:rPr>
      </w:pPr>
      <w:r>
        <w:rPr>
          <w:noProof/>
        </w:rPr>
        <w:t>Enterprise Mobility Suite de SA Existente, 54, 58</w:t>
      </w:r>
    </w:p>
    <w:p w:rsidR="00AC602F" w:rsidRDefault="00AC602F">
      <w:pPr>
        <w:pStyle w:val="Index1"/>
        <w:tabs>
          <w:tab w:val="right" w:pos="5030"/>
        </w:tabs>
        <w:rPr>
          <w:noProof/>
        </w:rPr>
      </w:pPr>
      <w:r>
        <w:rPr>
          <w:noProof/>
        </w:rPr>
        <w:t>Excel 2016, 24</w:t>
      </w:r>
    </w:p>
    <w:p w:rsidR="00AC602F" w:rsidRDefault="00AC602F">
      <w:pPr>
        <w:pStyle w:val="Index1"/>
        <w:tabs>
          <w:tab w:val="right" w:pos="5030"/>
        </w:tabs>
        <w:rPr>
          <w:noProof/>
        </w:rPr>
      </w:pPr>
      <w:r>
        <w:rPr>
          <w:noProof/>
        </w:rPr>
        <w:t>Excel 2016 para Mac, 25</w:t>
      </w:r>
    </w:p>
    <w:p w:rsidR="00AC602F" w:rsidRDefault="00AC602F">
      <w:pPr>
        <w:pStyle w:val="Index1"/>
        <w:tabs>
          <w:tab w:val="right" w:pos="5030"/>
        </w:tabs>
        <w:rPr>
          <w:noProof/>
        </w:rPr>
      </w:pPr>
      <w:r>
        <w:rPr>
          <w:noProof/>
        </w:rPr>
        <w:t>Exchange Enterprise CAL com Serviços, 68</w:t>
      </w:r>
    </w:p>
    <w:p w:rsidR="00AC602F" w:rsidRDefault="00AC602F">
      <w:pPr>
        <w:pStyle w:val="Index1"/>
        <w:tabs>
          <w:tab w:val="right" w:pos="5030"/>
        </w:tabs>
        <w:rPr>
          <w:noProof/>
        </w:rPr>
      </w:pPr>
      <w:r>
        <w:rPr>
          <w:noProof/>
        </w:rPr>
        <w:t>Exchange Hosted Archive, 68</w:t>
      </w:r>
    </w:p>
    <w:p w:rsidR="00AC602F" w:rsidRDefault="00AC602F">
      <w:pPr>
        <w:pStyle w:val="Index1"/>
        <w:tabs>
          <w:tab w:val="right" w:pos="5030"/>
        </w:tabs>
        <w:rPr>
          <w:noProof/>
        </w:rPr>
      </w:pPr>
      <w:r>
        <w:rPr>
          <w:noProof/>
        </w:rPr>
        <w:t>Exchange Online Kiosk, 67</w:t>
      </w:r>
    </w:p>
    <w:p w:rsidR="00AC602F" w:rsidRDefault="00AC602F">
      <w:pPr>
        <w:pStyle w:val="Index1"/>
        <w:tabs>
          <w:tab w:val="right" w:pos="5030"/>
        </w:tabs>
        <w:rPr>
          <w:noProof/>
        </w:rPr>
      </w:pPr>
      <w:r>
        <w:rPr>
          <w:noProof/>
        </w:rPr>
        <w:t>Exchange Online Plan 1, 27, 67</w:t>
      </w:r>
    </w:p>
    <w:p w:rsidR="00AC602F" w:rsidRDefault="00AC602F">
      <w:pPr>
        <w:pStyle w:val="Index1"/>
        <w:tabs>
          <w:tab w:val="right" w:pos="5030"/>
        </w:tabs>
        <w:rPr>
          <w:noProof/>
        </w:rPr>
      </w:pPr>
      <w:r>
        <w:rPr>
          <w:noProof/>
        </w:rPr>
        <w:t>Exchange Online Plan 1A para Ex-alunos, 67</w:t>
      </w:r>
    </w:p>
    <w:p w:rsidR="00AC602F" w:rsidRDefault="00AC602F">
      <w:pPr>
        <w:pStyle w:val="Index1"/>
        <w:tabs>
          <w:tab w:val="right" w:pos="5030"/>
        </w:tabs>
        <w:rPr>
          <w:noProof/>
        </w:rPr>
      </w:pPr>
      <w:r>
        <w:rPr>
          <w:noProof/>
        </w:rPr>
        <w:t>Exchange Online Plan 2, 27, 67</w:t>
      </w:r>
    </w:p>
    <w:p w:rsidR="00AC602F" w:rsidRDefault="00AC602F">
      <w:pPr>
        <w:pStyle w:val="Index1"/>
        <w:tabs>
          <w:tab w:val="right" w:pos="5030"/>
        </w:tabs>
        <w:rPr>
          <w:noProof/>
        </w:rPr>
      </w:pPr>
      <w:r>
        <w:rPr>
          <w:noProof/>
        </w:rPr>
        <w:t>Exchange Server, 88</w:t>
      </w:r>
    </w:p>
    <w:p w:rsidR="00AC602F" w:rsidRDefault="00AC602F">
      <w:pPr>
        <w:pStyle w:val="Index1"/>
        <w:tabs>
          <w:tab w:val="right" w:pos="5030"/>
        </w:tabs>
        <w:rPr>
          <w:noProof/>
        </w:rPr>
      </w:pPr>
      <w:r>
        <w:rPr>
          <w:noProof/>
        </w:rPr>
        <w:t>Exchange Server 2013, 26</w:t>
      </w:r>
    </w:p>
    <w:p w:rsidR="00AC602F" w:rsidRDefault="00AC602F">
      <w:pPr>
        <w:pStyle w:val="Index1"/>
        <w:tabs>
          <w:tab w:val="right" w:pos="5030"/>
        </w:tabs>
        <w:rPr>
          <w:noProof/>
        </w:rPr>
      </w:pPr>
      <w:r>
        <w:rPr>
          <w:noProof/>
        </w:rPr>
        <w:t>Exchange Server Enterprise, 88</w:t>
      </w:r>
    </w:p>
    <w:p w:rsidR="00AC602F" w:rsidRDefault="00AC602F">
      <w:pPr>
        <w:pStyle w:val="Index1"/>
        <w:tabs>
          <w:tab w:val="right" w:pos="5030"/>
        </w:tabs>
        <w:rPr>
          <w:noProof/>
        </w:rPr>
      </w:pPr>
      <w:r>
        <w:rPr>
          <w:noProof/>
        </w:rPr>
        <w:t>Exchange Server Enterprise 2016, 26</w:t>
      </w:r>
    </w:p>
    <w:p w:rsidR="00AC602F" w:rsidRDefault="00AC602F">
      <w:pPr>
        <w:pStyle w:val="Index1"/>
        <w:tabs>
          <w:tab w:val="right" w:pos="5030"/>
        </w:tabs>
        <w:rPr>
          <w:noProof/>
        </w:rPr>
      </w:pPr>
      <w:r>
        <w:rPr>
          <w:noProof/>
        </w:rPr>
        <w:t>Exchange Server Enterprise 2016 CAL, 26</w:t>
      </w:r>
    </w:p>
    <w:p w:rsidR="00AC602F" w:rsidRDefault="00AC602F">
      <w:pPr>
        <w:pStyle w:val="Index1"/>
        <w:tabs>
          <w:tab w:val="right" w:pos="5030"/>
        </w:tabs>
        <w:rPr>
          <w:noProof/>
        </w:rPr>
      </w:pPr>
      <w:r>
        <w:rPr>
          <w:noProof/>
        </w:rPr>
        <w:t>Exchange Server Standard, 88</w:t>
      </w:r>
    </w:p>
    <w:p w:rsidR="00AC602F" w:rsidRDefault="00AC602F">
      <w:pPr>
        <w:pStyle w:val="Index1"/>
        <w:tabs>
          <w:tab w:val="right" w:pos="5030"/>
        </w:tabs>
        <w:rPr>
          <w:noProof/>
        </w:rPr>
      </w:pPr>
      <w:r>
        <w:rPr>
          <w:noProof/>
        </w:rPr>
        <w:t>Exchange Server Standard 2016, 26</w:t>
      </w:r>
    </w:p>
    <w:p w:rsidR="00AC602F" w:rsidRDefault="00AC602F">
      <w:pPr>
        <w:pStyle w:val="Index1"/>
        <w:tabs>
          <w:tab w:val="right" w:pos="5030"/>
        </w:tabs>
        <w:rPr>
          <w:noProof/>
        </w:rPr>
      </w:pPr>
      <w:r>
        <w:rPr>
          <w:noProof/>
        </w:rPr>
        <w:t>Exchange Server Standard 2016 CAL, 26</w:t>
      </w:r>
    </w:p>
    <w:p w:rsidR="00AC602F" w:rsidRDefault="00AC602F">
      <w:pPr>
        <w:pStyle w:val="Index1"/>
        <w:tabs>
          <w:tab w:val="right" w:pos="5030"/>
        </w:tabs>
        <w:rPr>
          <w:noProof/>
        </w:rPr>
      </w:pPr>
      <w:r>
        <w:rPr>
          <w:noProof/>
        </w:rPr>
        <w:t>External Connector para Microsoft Identity Manager 2016, 23</w:t>
      </w:r>
    </w:p>
    <w:p w:rsidR="00AC602F" w:rsidRDefault="00AC602F">
      <w:pPr>
        <w:pStyle w:val="Index1"/>
        <w:tabs>
          <w:tab w:val="right" w:pos="5030"/>
        </w:tabs>
        <w:rPr>
          <w:noProof/>
        </w:rPr>
      </w:pPr>
      <w:r>
        <w:rPr>
          <w:noProof/>
        </w:rPr>
        <w:t>External Connector para os Serviços de Ambiente de Trabalho Remoto do Windows Server 2012, 47</w:t>
      </w:r>
    </w:p>
    <w:p w:rsidR="00AC602F" w:rsidRDefault="00AC602F">
      <w:pPr>
        <w:pStyle w:val="Index1"/>
        <w:tabs>
          <w:tab w:val="right" w:pos="5030"/>
        </w:tabs>
        <w:rPr>
          <w:noProof/>
        </w:rPr>
      </w:pPr>
      <w:r>
        <w:rPr>
          <w:noProof/>
        </w:rPr>
        <w:t>External Connector para Windows Server 2012, 47</w:t>
      </w:r>
    </w:p>
    <w:p w:rsidR="00AC602F" w:rsidRDefault="00AC602F">
      <w:pPr>
        <w:pStyle w:val="Index1"/>
        <w:tabs>
          <w:tab w:val="right" w:pos="5030"/>
        </w:tabs>
        <w:rPr>
          <w:noProof/>
        </w:rPr>
      </w:pPr>
      <w:r>
        <w:rPr>
          <w:noProof/>
        </w:rPr>
        <w:t>External Connectors para os Serviços de Gestão de Direitos do Active Directory do Windows Server 2012, 47</w:t>
      </w:r>
    </w:p>
    <w:p w:rsidR="00AC602F" w:rsidRDefault="00AC602F">
      <w:pPr>
        <w:pStyle w:val="Index1"/>
        <w:tabs>
          <w:tab w:val="right" w:pos="5030"/>
        </w:tabs>
        <w:rPr>
          <w:noProof/>
        </w:rPr>
      </w:pPr>
      <w:r>
        <w:rPr>
          <w:noProof/>
        </w:rPr>
        <w:t>Forefront Identity Manager 2010 - Windows Live Edition, 19</w:t>
      </w:r>
    </w:p>
    <w:p w:rsidR="00AC602F" w:rsidRDefault="00AC602F">
      <w:pPr>
        <w:pStyle w:val="Index1"/>
        <w:tabs>
          <w:tab w:val="right" w:pos="5030"/>
        </w:tabs>
        <w:rPr>
          <w:noProof/>
        </w:rPr>
      </w:pPr>
      <w:r>
        <w:rPr>
          <w:noProof/>
        </w:rPr>
        <w:t>Forefront Identity Manager 2010 R2, 23, 49</w:t>
      </w:r>
    </w:p>
    <w:p w:rsidR="00AC602F" w:rsidRDefault="00AC602F">
      <w:pPr>
        <w:pStyle w:val="Index1"/>
        <w:tabs>
          <w:tab w:val="right" w:pos="5030"/>
        </w:tabs>
        <w:rPr>
          <w:noProof/>
        </w:rPr>
      </w:pPr>
      <w:r>
        <w:rPr>
          <w:noProof/>
        </w:rPr>
        <w:t>Forefront Identity Manager 2010 R2 - Windows Live Edition, 19</w:t>
      </w:r>
    </w:p>
    <w:p w:rsidR="00AC602F" w:rsidRDefault="00AC602F">
      <w:pPr>
        <w:pStyle w:val="Index1"/>
        <w:tabs>
          <w:tab w:val="right" w:pos="5030"/>
        </w:tabs>
        <w:rPr>
          <w:noProof/>
        </w:rPr>
      </w:pPr>
      <w:r>
        <w:rPr>
          <w:noProof/>
        </w:rPr>
        <w:t>Forefront TMG Enterprise, 88</w:t>
      </w:r>
    </w:p>
    <w:p w:rsidR="00AC602F" w:rsidRDefault="00AC602F">
      <w:pPr>
        <w:pStyle w:val="Index1"/>
        <w:tabs>
          <w:tab w:val="right" w:pos="5030"/>
        </w:tabs>
        <w:rPr>
          <w:noProof/>
        </w:rPr>
      </w:pPr>
      <w:r>
        <w:rPr>
          <w:noProof/>
        </w:rPr>
        <w:t>Forefront TMG Standard, 88</w:t>
      </w:r>
    </w:p>
    <w:p w:rsidR="00AC602F" w:rsidRDefault="00AC602F">
      <w:pPr>
        <w:pStyle w:val="Index1"/>
        <w:tabs>
          <w:tab w:val="right" w:pos="5030"/>
        </w:tabs>
        <w:rPr>
          <w:noProof/>
        </w:rPr>
      </w:pPr>
      <w:r>
        <w:rPr>
          <w:noProof/>
        </w:rPr>
        <w:t>Forefront United Access Gateway 2010, 17</w:t>
      </w:r>
    </w:p>
    <w:p w:rsidR="00AC602F" w:rsidRDefault="00AC602F">
      <w:pPr>
        <w:pStyle w:val="Index1"/>
        <w:tabs>
          <w:tab w:val="right" w:pos="5030"/>
        </w:tabs>
        <w:rPr>
          <w:noProof/>
        </w:rPr>
      </w:pPr>
      <w:r>
        <w:rPr>
          <w:noProof/>
        </w:rPr>
        <w:t>HPC Pack, 49</w:t>
      </w:r>
    </w:p>
    <w:p w:rsidR="00AC602F" w:rsidRDefault="00AC602F">
      <w:pPr>
        <w:pStyle w:val="Index1"/>
        <w:tabs>
          <w:tab w:val="right" w:pos="5030"/>
        </w:tabs>
        <w:rPr>
          <w:noProof/>
        </w:rPr>
      </w:pPr>
      <w:r>
        <w:rPr>
          <w:noProof/>
        </w:rPr>
        <w:t>Licença de Gestão de Cliente do Advanced Threat Analytics 2016 por OSE, 14</w:t>
      </w:r>
    </w:p>
    <w:p w:rsidR="00AC602F" w:rsidRDefault="00AC602F">
      <w:pPr>
        <w:pStyle w:val="Index1"/>
        <w:tabs>
          <w:tab w:val="right" w:pos="5030"/>
        </w:tabs>
        <w:rPr>
          <w:noProof/>
        </w:rPr>
      </w:pPr>
      <w:r>
        <w:rPr>
          <w:noProof/>
        </w:rPr>
        <w:t>Licença de Gestão de Cliente do Advanced Threat Analytics 2016 por Utilizador, 14</w:t>
      </w:r>
    </w:p>
    <w:p w:rsidR="00AC602F" w:rsidRDefault="00AC602F">
      <w:pPr>
        <w:pStyle w:val="Index1"/>
        <w:tabs>
          <w:tab w:val="right" w:pos="5030"/>
        </w:tabs>
        <w:rPr>
          <w:noProof/>
        </w:rPr>
      </w:pPr>
      <w:r>
        <w:rPr>
          <w:noProof/>
        </w:rPr>
        <w:t>Licença de Gestão de Cliente do System Center 2012 R2 Configuration Manager, 35</w:t>
      </w:r>
    </w:p>
    <w:p w:rsidR="00AC602F" w:rsidRDefault="00AC602F">
      <w:pPr>
        <w:pStyle w:val="Index1"/>
        <w:tabs>
          <w:tab w:val="right" w:pos="5030"/>
        </w:tabs>
        <w:rPr>
          <w:noProof/>
        </w:rPr>
      </w:pPr>
      <w:r>
        <w:rPr>
          <w:noProof/>
        </w:rPr>
        <w:t>Live Meeting Professional, 30</w:t>
      </w:r>
    </w:p>
    <w:p w:rsidR="00AC602F" w:rsidRDefault="00AC602F">
      <w:pPr>
        <w:pStyle w:val="Index1"/>
        <w:tabs>
          <w:tab w:val="right" w:pos="5030"/>
        </w:tabs>
        <w:rPr>
          <w:noProof/>
        </w:rPr>
      </w:pPr>
      <w:r>
        <w:rPr>
          <w:noProof/>
        </w:rPr>
        <w:t>Live Meeting Standard, 30</w:t>
      </w:r>
    </w:p>
    <w:p w:rsidR="00AC602F" w:rsidRDefault="00AC602F">
      <w:pPr>
        <w:pStyle w:val="Index1"/>
        <w:tabs>
          <w:tab w:val="right" w:pos="5030"/>
        </w:tabs>
        <w:rPr>
          <w:noProof/>
        </w:rPr>
      </w:pPr>
      <w:r>
        <w:rPr>
          <w:noProof/>
        </w:rPr>
        <w:t>Lync 2013, 24</w:t>
      </w:r>
    </w:p>
    <w:p w:rsidR="00AC602F" w:rsidRDefault="00AC602F">
      <w:pPr>
        <w:pStyle w:val="Index1"/>
        <w:tabs>
          <w:tab w:val="right" w:pos="5030"/>
        </w:tabs>
        <w:rPr>
          <w:noProof/>
        </w:rPr>
      </w:pPr>
      <w:r>
        <w:rPr>
          <w:noProof/>
        </w:rPr>
        <w:t>Lync for Mac 2011, 25, 69</w:t>
      </w:r>
    </w:p>
    <w:p w:rsidR="00AC602F" w:rsidRDefault="00AC602F">
      <w:pPr>
        <w:pStyle w:val="Index1"/>
        <w:tabs>
          <w:tab w:val="right" w:pos="5030"/>
        </w:tabs>
        <w:rPr>
          <w:noProof/>
        </w:rPr>
      </w:pPr>
      <w:r>
        <w:rPr>
          <w:noProof/>
        </w:rPr>
        <w:t>Lync Server 2010, 29</w:t>
      </w:r>
    </w:p>
    <w:p w:rsidR="00AC602F" w:rsidRDefault="00AC602F">
      <w:pPr>
        <w:pStyle w:val="Index1"/>
        <w:tabs>
          <w:tab w:val="right" w:pos="5030"/>
        </w:tabs>
        <w:rPr>
          <w:noProof/>
        </w:rPr>
      </w:pPr>
      <w:r>
        <w:rPr>
          <w:noProof/>
        </w:rPr>
        <w:t>Lync Server 2013, 29</w:t>
      </w:r>
    </w:p>
    <w:p w:rsidR="00AC602F" w:rsidRDefault="00AC602F">
      <w:pPr>
        <w:pStyle w:val="Index1"/>
        <w:tabs>
          <w:tab w:val="right" w:pos="5030"/>
        </w:tabs>
        <w:rPr>
          <w:noProof/>
        </w:rPr>
      </w:pPr>
      <w:r>
        <w:rPr>
          <w:noProof/>
        </w:rPr>
        <w:t>Lync Voice Add-on for Enterprise Cloud Suite, 58</w:t>
      </w:r>
    </w:p>
    <w:p w:rsidR="00AC602F" w:rsidRDefault="00AC602F">
      <w:pPr>
        <w:pStyle w:val="Index1"/>
        <w:tabs>
          <w:tab w:val="right" w:pos="5030"/>
        </w:tabs>
        <w:rPr>
          <w:noProof/>
        </w:rPr>
      </w:pPr>
      <w:r>
        <w:rPr>
          <w:noProof/>
        </w:rPr>
        <w:t>Microsoft Azure Site Recovery, 54</w:t>
      </w:r>
    </w:p>
    <w:p w:rsidR="00AC602F" w:rsidRDefault="00AC602F">
      <w:pPr>
        <w:pStyle w:val="Index1"/>
        <w:tabs>
          <w:tab w:val="right" w:pos="5030"/>
        </w:tabs>
        <w:rPr>
          <w:noProof/>
        </w:rPr>
      </w:pPr>
      <w:r>
        <w:rPr>
          <w:noProof/>
        </w:rPr>
        <w:t>Microsoft Dynamics AX 2012 R2, 20</w:t>
      </w:r>
    </w:p>
    <w:p w:rsidR="00AC602F" w:rsidRDefault="00AC602F">
      <w:pPr>
        <w:pStyle w:val="Index1"/>
        <w:tabs>
          <w:tab w:val="right" w:pos="5030"/>
        </w:tabs>
        <w:rPr>
          <w:noProof/>
        </w:rPr>
      </w:pPr>
      <w:r>
        <w:rPr>
          <w:noProof/>
        </w:rPr>
        <w:t>Microsoft Dynamics AX 2012 R3 Enterprise Additive CAL, 20</w:t>
      </w:r>
    </w:p>
    <w:p w:rsidR="00AC602F" w:rsidRDefault="00AC602F">
      <w:pPr>
        <w:pStyle w:val="Index1"/>
        <w:tabs>
          <w:tab w:val="right" w:pos="5030"/>
        </w:tabs>
        <w:rPr>
          <w:noProof/>
        </w:rPr>
      </w:pPr>
      <w:r>
        <w:rPr>
          <w:noProof/>
        </w:rPr>
        <w:t>Microsoft Dynamics AX 2012 R3 Enterprise CAL, 20</w:t>
      </w:r>
    </w:p>
    <w:p w:rsidR="00AC602F" w:rsidRDefault="00AC602F">
      <w:pPr>
        <w:pStyle w:val="Index1"/>
        <w:tabs>
          <w:tab w:val="right" w:pos="5030"/>
        </w:tabs>
        <w:rPr>
          <w:noProof/>
        </w:rPr>
      </w:pPr>
      <w:r>
        <w:rPr>
          <w:noProof/>
        </w:rPr>
        <w:t>Microsoft Dynamics AX 2012 R3 Functional Additive CAL, 20</w:t>
      </w:r>
    </w:p>
    <w:p w:rsidR="00AC602F" w:rsidRDefault="00AC602F">
      <w:pPr>
        <w:pStyle w:val="Index1"/>
        <w:tabs>
          <w:tab w:val="right" w:pos="5030"/>
        </w:tabs>
        <w:rPr>
          <w:noProof/>
        </w:rPr>
      </w:pPr>
      <w:r>
        <w:rPr>
          <w:noProof/>
        </w:rPr>
        <w:t>Microsoft Dynamics AX 2012 R3 Functional CAL, 20</w:t>
      </w:r>
    </w:p>
    <w:p w:rsidR="00AC602F" w:rsidRDefault="00AC602F">
      <w:pPr>
        <w:pStyle w:val="Index1"/>
        <w:tabs>
          <w:tab w:val="right" w:pos="5030"/>
        </w:tabs>
        <w:rPr>
          <w:noProof/>
        </w:rPr>
      </w:pPr>
      <w:r>
        <w:rPr>
          <w:noProof/>
        </w:rPr>
        <w:t>Microsoft Dynamics AX 2012 R3 Self Serve CAL, 20</w:t>
      </w:r>
    </w:p>
    <w:p w:rsidR="00AC602F" w:rsidRDefault="00AC602F">
      <w:pPr>
        <w:pStyle w:val="Index1"/>
        <w:tabs>
          <w:tab w:val="right" w:pos="5030"/>
        </w:tabs>
        <w:rPr>
          <w:noProof/>
        </w:rPr>
      </w:pPr>
      <w:r>
        <w:rPr>
          <w:noProof/>
        </w:rPr>
        <w:t>Microsoft Dynamics AX 2012 R3 Server, 20</w:t>
      </w:r>
    </w:p>
    <w:p w:rsidR="00AC602F" w:rsidRDefault="00AC602F">
      <w:pPr>
        <w:pStyle w:val="Index1"/>
        <w:tabs>
          <w:tab w:val="right" w:pos="5030"/>
        </w:tabs>
        <w:rPr>
          <w:noProof/>
        </w:rPr>
      </w:pPr>
      <w:r>
        <w:rPr>
          <w:noProof/>
        </w:rPr>
        <w:t>Microsoft Dynamics AX 2012 R3 Standard Commerce Server Core, 20</w:t>
      </w:r>
    </w:p>
    <w:p w:rsidR="00AC602F" w:rsidRDefault="00AC602F">
      <w:pPr>
        <w:pStyle w:val="Index1"/>
        <w:tabs>
          <w:tab w:val="right" w:pos="5030"/>
        </w:tabs>
        <w:rPr>
          <w:noProof/>
        </w:rPr>
      </w:pPr>
      <w:r>
        <w:rPr>
          <w:noProof/>
        </w:rPr>
        <w:t>Microsoft Dynamics AX 2012 R3 Store Server, 20</w:t>
      </w:r>
    </w:p>
    <w:p w:rsidR="00AC602F" w:rsidRDefault="00AC602F">
      <w:pPr>
        <w:pStyle w:val="Index1"/>
        <w:tabs>
          <w:tab w:val="right" w:pos="5030"/>
        </w:tabs>
        <w:rPr>
          <w:noProof/>
        </w:rPr>
      </w:pPr>
      <w:r>
        <w:rPr>
          <w:noProof/>
        </w:rPr>
        <w:t>Microsoft Dynamics AX 2012 R3 Task Additive CAL, 20</w:t>
      </w:r>
    </w:p>
    <w:p w:rsidR="00AC602F" w:rsidRDefault="00AC602F">
      <w:pPr>
        <w:pStyle w:val="Index1"/>
        <w:tabs>
          <w:tab w:val="right" w:pos="5030"/>
        </w:tabs>
        <w:rPr>
          <w:noProof/>
        </w:rPr>
      </w:pPr>
      <w:r>
        <w:rPr>
          <w:noProof/>
        </w:rPr>
        <w:t>Microsoft Dynamics AX 2012 R3 Task CAL, 20</w:t>
      </w:r>
    </w:p>
    <w:p w:rsidR="00AC602F" w:rsidRDefault="00AC602F">
      <w:pPr>
        <w:pStyle w:val="Index1"/>
        <w:tabs>
          <w:tab w:val="right" w:pos="5030"/>
        </w:tabs>
        <w:rPr>
          <w:noProof/>
        </w:rPr>
      </w:pPr>
      <w:r>
        <w:rPr>
          <w:noProof/>
        </w:rPr>
        <w:t>Microsoft Dynamics AX Additional Storage, 59</w:t>
      </w:r>
    </w:p>
    <w:p w:rsidR="00AC602F" w:rsidRDefault="00AC602F">
      <w:pPr>
        <w:pStyle w:val="Index1"/>
        <w:tabs>
          <w:tab w:val="right" w:pos="5030"/>
        </w:tabs>
        <w:rPr>
          <w:noProof/>
        </w:rPr>
      </w:pPr>
      <w:r>
        <w:rPr>
          <w:noProof/>
        </w:rPr>
        <w:t>Microsoft Dynamics AX Device, 59</w:t>
      </w:r>
    </w:p>
    <w:p w:rsidR="00AC602F" w:rsidRDefault="00AC602F">
      <w:pPr>
        <w:pStyle w:val="Index1"/>
        <w:tabs>
          <w:tab w:val="right" w:pos="5030"/>
        </w:tabs>
        <w:rPr>
          <w:noProof/>
        </w:rPr>
      </w:pPr>
      <w:r>
        <w:rPr>
          <w:noProof/>
        </w:rPr>
        <w:t>Microsoft Dynamics AX Device para SA, 59</w:t>
      </w:r>
    </w:p>
    <w:p w:rsidR="00AC602F" w:rsidRDefault="00AC602F">
      <w:pPr>
        <w:pStyle w:val="Index1"/>
        <w:tabs>
          <w:tab w:val="right" w:pos="5030"/>
        </w:tabs>
        <w:rPr>
          <w:noProof/>
        </w:rPr>
      </w:pPr>
      <w:r>
        <w:rPr>
          <w:noProof/>
        </w:rPr>
        <w:t>Microsoft Dynamics AX Enterprise, 59</w:t>
      </w:r>
    </w:p>
    <w:p w:rsidR="00AC602F" w:rsidRDefault="00AC602F">
      <w:pPr>
        <w:pStyle w:val="Index1"/>
        <w:tabs>
          <w:tab w:val="right" w:pos="5030"/>
        </w:tabs>
        <w:rPr>
          <w:noProof/>
        </w:rPr>
      </w:pPr>
      <w:r>
        <w:rPr>
          <w:noProof/>
        </w:rPr>
        <w:t>Microsoft Dynamics AX Enterprise Additive CAL, 59</w:t>
      </w:r>
    </w:p>
    <w:p w:rsidR="00AC602F" w:rsidRDefault="00AC602F">
      <w:pPr>
        <w:pStyle w:val="Index1"/>
        <w:tabs>
          <w:tab w:val="right" w:pos="5030"/>
        </w:tabs>
        <w:rPr>
          <w:noProof/>
        </w:rPr>
      </w:pPr>
      <w:r>
        <w:rPr>
          <w:noProof/>
        </w:rPr>
        <w:t>Microsoft Dynamics AX Enterprise CAL, 59, 82</w:t>
      </w:r>
    </w:p>
    <w:p w:rsidR="00AC602F" w:rsidRDefault="00AC602F">
      <w:pPr>
        <w:pStyle w:val="Index1"/>
        <w:tabs>
          <w:tab w:val="right" w:pos="5030"/>
        </w:tabs>
        <w:rPr>
          <w:noProof/>
        </w:rPr>
      </w:pPr>
      <w:r>
        <w:rPr>
          <w:noProof/>
        </w:rPr>
        <w:t>Microsoft Dynamics AX Enterprise para SA, 59</w:t>
      </w:r>
    </w:p>
    <w:p w:rsidR="00AC602F" w:rsidRDefault="00AC602F">
      <w:pPr>
        <w:pStyle w:val="Index1"/>
        <w:tabs>
          <w:tab w:val="right" w:pos="5030"/>
        </w:tabs>
        <w:rPr>
          <w:noProof/>
        </w:rPr>
      </w:pPr>
      <w:r>
        <w:rPr>
          <w:noProof/>
        </w:rPr>
        <w:t>Microsoft Dynamics AX Functional Additive CAL, 59</w:t>
      </w:r>
    </w:p>
    <w:p w:rsidR="00AC602F" w:rsidRDefault="00AC602F">
      <w:pPr>
        <w:pStyle w:val="Index1"/>
        <w:tabs>
          <w:tab w:val="right" w:pos="5030"/>
        </w:tabs>
        <w:rPr>
          <w:noProof/>
        </w:rPr>
      </w:pPr>
      <w:r>
        <w:rPr>
          <w:noProof/>
        </w:rPr>
        <w:t>Microsoft Dynamics AX Functional CAL, 59, 82</w:t>
      </w:r>
    </w:p>
    <w:p w:rsidR="00AC602F" w:rsidRDefault="00AC602F">
      <w:pPr>
        <w:pStyle w:val="Index1"/>
        <w:tabs>
          <w:tab w:val="right" w:pos="5030"/>
        </w:tabs>
        <w:rPr>
          <w:noProof/>
        </w:rPr>
      </w:pPr>
      <w:r>
        <w:rPr>
          <w:noProof/>
        </w:rPr>
        <w:t>Microsoft Dynamics AX Retail Scale Unit, 59</w:t>
      </w:r>
    </w:p>
    <w:p w:rsidR="00AC602F" w:rsidRDefault="00AC602F">
      <w:pPr>
        <w:pStyle w:val="Index1"/>
        <w:tabs>
          <w:tab w:val="right" w:pos="5030"/>
        </w:tabs>
        <w:rPr>
          <w:noProof/>
        </w:rPr>
      </w:pPr>
      <w:r>
        <w:rPr>
          <w:noProof/>
        </w:rPr>
        <w:t>Microsoft Dynamics AX Sandbox Tier 1</w:t>
      </w:r>
    </w:p>
    <w:p w:rsidR="00AC602F" w:rsidRDefault="00AC602F">
      <w:pPr>
        <w:pStyle w:val="Index2"/>
        <w:tabs>
          <w:tab w:val="right" w:pos="5030"/>
        </w:tabs>
        <w:rPr>
          <w:noProof/>
        </w:rPr>
      </w:pPr>
      <w:r>
        <w:rPr>
          <w:noProof/>
        </w:rPr>
        <w:t>Developer &amp; Test Instance, 59</w:t>
      </w:r>
    </w:p>
    <w:p w:rsidR="00AC602F" w:rsidRDefault="00AC602F">
      <w:pPr>
        <w:pStyle w:val="Index1"/>
        <w:tabs>
          <w:tab w:val="right" w:pos="5030"/>
        </w:tabs>
        <w:rPr>
          <w:noProof/>
        </w:rPr>
      </w:pPr>
      <w:r>
        <w:rPr>
          <w:noProof/>
        </w:rPr>
        <w:t>Microsoft Dynamics AX Sandbox Tier 2</w:t>
      </w:r>
    </w:p>
    <w:p w:rsidR="00AC602F" w:rsidRDefault="00AC602F">
      <w:pPr>
        <w:pStyle w:val="Index2"/>
        <w:tabs>
          <w:tab w:val="right" w:pos="5030"/>
        </w:tabs>
        <w:rPr>
          <w:noProof/>
        </w:rPr>
      </w:pPr>
      <w:r>
        <w:rPr>
          <w:noProof/>
        </w:rPr>
        <w:t>Testes Standard Acceptance, 59</w:t>
      </w:r>
    </w:p>
    <w:p w:rsidR="00AC602F" w:rsidRDefault="00AC602F">
      <w:pPr>
        <w:pStyle w:val="Index1"/>
        <w:tabs>
          <w:tab w:val="right" w:pos="5030"/>
        </w:tabs>
        <w:rPr>
          <w:noProof/>
        </w:rPr>
      </w:pPr>
      <w:r>
        <w:rPr>
          <w:noProof/>
        </w:rPr>
        <w:t>Microsoft Dynamics AX Sandbox Tier 3</w:t>
      </w:r>
    </w:p>
    <w:p w:rsidR="00AC602F" w:rsidRDefault="00AC602F">
      <w:pPr>
        <w:pStyle w:val="Index2"/>
        <w:tabs>
          <w:tab w:val="right" w:pos="5030"/>
        </w:tabs>
        <w:rPr>
          <w:noProof/>
        </w:rPr>
      </w:pPr>
      <w:r>
        <w:rPr>
          <w:noProof/>
        </w:rPr>
        <w:t>Testes Premier Acceptance, 59</w:t>
      </w:r>
    </w:p>
    <w:p w:rsidR="00AC602F" w:rsidRDefault="00AC602F">
      <w:pPr>
        <w:pStyle w:val="Index1"/>
        <w:tabs>
          <w:tab w:val="right" w:pos="5030"/>
        </w:tabs>
        <w:rPr>
          <w:noProof/>
        </w:rPr>
      </w:pPr>
      <w:r>
        <w:rPr>
          <w:noProof/>
        </w:rPr>
        <w:t>Microsoft Dynamics AX Sandbox Tier 4</w:t>
      </w:r>
    </w:p>
    <w:p w:rsidR="00AC602F" w:rsidRDefault="00AC602F">
      <w:pPr>
        <w:pStyle w:val="Index2"/>
        <w:tabs>
          <w:tab w:val="right" w:pos="5030"/>
        </w:tabs>
        <w:rPr>
          <w:noProof/>
        </w:rPr>
      </w:pPr>
      <w:r>
        <w:rPr>
          <w:noProof/>
        </w:rPr>
        <w:t>Testes Standard Performance (SL de Suplementos), 59</w:t>
      </w:r>
    </w:p>
    <w:p w:rsidR="00AC602F" w:rsidRDefault="00AC602F">
      <w:pPr>
        <w:pStyle w:val="Index1"/>
        <w:tabs>
          <w:tab w:val="right" w:pos="5030"/>
        </w:tabs>
        <w:rPr>
          <w:noProof/>
        </w:rPr>
      </w:pPr>
      <w:r>
        <w:rPr>
          <w:noProof/>
        </w:rPr>
        <w:t>Microsoft Dynamics AX Sandbox Tier 5</w:t>
      </w:r>
    </w:p>
    <w:p w:rsidR="00AC602F" w:rsidRDefault="00AC602F">
      <w:pPr>
        <w:pStyle w:val="Index2"/>
        <w:tabs>
          <w:tab w:val="right" w:pos="5030"/>
        </w:tabs>
        <w:rPr>
          <w:noProof/>
        </w:rPr>
      </w:pPr>
      <w:r>
        <w:rPr>
          <w:noProof/>
        </w:rPr>
        <w:t>Testes Premier Performance, 59</w:t>
      </w:r>
    </w:p>
    <w:p w:rsidR="00AC602F" w:rsidRDefault="00AC602F">
      <w:pPr>
        <w:pStyle w:val="Index1"/>
        <w:tabs>
          <w:tab w:val="right" w:pos="5030"/>
        </w:tabs>
        <w:rPr>
          <w:noProof/>
        </w:rPr>
      </w:pPr>
      <w:r>
        <w:rPr>
          <w:noProof/>
        </w:rPr>
        <w:t>Microsoft Dynamics AX Self Serve, 59</w:t>
      </w:r>
    </w:p>
    <w:p w:rsidR="00AC602F" w:rsidRDefault="00AC602F">
      <w:pPr>
        <w:pStyle w:val="Index1"/>
        <w:tabs>
          <w:tab w:val="right" w:pos="5030"/>
        </w:tabs>
        <w:rPr>
          <w:noProof/>
        </w:rPr>
      </w:pPr>
      <w:r>
        <w:rPr>
          <w:noProof/>
        </w:rPr>
        <w:t>Microsoft Dynamics AX Self Serve CAL, 59</w:t>
      </w:r>
    </w:p>
    <w:p w:rsidR="00AC602F" w:rsidRDefault="00AC602F">
      <w:pPr>
        <w:pStyle w:val="Index1"/>
        <w:tabs>
          <w:tab w:val="right" w:pos="5030"/>
        </w:tabs>
        <w:rPr>
          <w:noProof/>
        </w:rPr>
      </w:pPr>
      <w:r>
        <w:rPr>
          <w:noProof/>
        </w:rPr>
        <w:t>Microsoft Dynamics AX Self Serve para SA, 59</w:t>
      </w:r>
    </w:p>
    <w:p w:rsidR="00AC602F" w:rsidRDefault="00AC602F">
      <w:pPr>
        <w:pStyle w:val="Index1"/>
        <w:tabs>
          <w:tab w:val="right" w:pos="5030"/>
        </w:tabs>
        <w:rPr>
          <w:noProof/>
        </w:rPr>
      </w:pPr>
      <w:r>
        <w:rPr>
          <w:noProof/>
        </w:rPr>
        <w:t>Microsoft Dynamics AX Standard Commerce Core Server, 82</w:t>
      </w:r>
    </w:p>
    <w:p w:rsidR="00AC602F" w:rsidRDefault="00AC602F">
      <w:pPr>
        <w:pStyle w:val="Index1"/>
        <w:tabs>
          <w:tab w:val="right" w:pos="5030"/>
        </w:tabs>
        <w:rPr>
          <w:noProof/>
        </w:rPr>
      </w:pPr>
      <w:r>
        <w:rPr>
          <w:noProof/>
        </w:rPr>
        <w:t>Microsoft Dynamics AX Store Server, 82</w:t>
      </w:r>
    </w:p>
    <w:p w:rsidR="00AC602F" w:rsidRDefault="00AC602F">
      <w:pPr>
        <w:pStyle w:val="Index1"/>
        <w:tabs>
          <w:tab w:val="right" w:pos="5030"/>
        </w:tabs>
        <w:rPr>
          <w:noProof/>
        </w:rPr>
      </w:pPr>
      <w:r>
        <w:rPr>
          <w:noProof/>
        </w:rPr>
        <w:t>Microsoft Dynamics AX Task, 59</w:t>
      </w:r>
    </w:p>
    <w:p w:rsidR="00AC602F" w:rsidRDefault="00AC602F">
      <w:pPr>
        <w:pStyle w:val="Index1"/>
        <w:tabs>
          <w:tab w:val="right" w:pos="5030"/>
        </w:tabs>
        <w:rPr>
          <w:noProof/>
        </w:rPr>
      </w:pPr>
      <w:r>
        <w:rPr>
          <w:noProof/>
        </w:rPr>
        <w:t>Microsoft Dynamics AX Task CAL, 82</w:t>
      </w:r>
    </w:p>
    <w:p w:rsidR="00AC602F" w:rsidRDefault="00AC602F">
      <w:pPr>
        <w:pStyle w:val="Index1"/>
        <w:tabs>
          <w:tab w:val="right" w:pos="5030"/>
        </w:tabs>
        <w:rPr>
          <w:noProof/>
        </w:rPr>
      </w:pPr>
      <w:r>
        <w:rPr>
          <w:noProof/>
        </w:rPr>
        <w:t>Microsoft Dynamics AX Task para SA, 59</w:t>
      </w:r>
    </w:p>
    <w:p w:rsidR="00AC602F" w:rsidRDefault="00AC602F">
      <w:pPr>
        <w:pStyle w:val="Index1"/>
        <w:tabs>
          <w:tab w:val="right" w:pos="5030"/>
        </w:tabs>
        <w:rPr>
          <w:noProof/>
        </w:rPr>
      </w:pPr>
      <w:r>
        <w:rPr>
          <w:noProof/>
        </w:rPr>
        <w:t>Microsoft Dynamics CRM 2013, 22</w:t>
      </w:r>
    </w:p>
    <w:p w:rsidR="00AC602F" w:rsidRDefault="00AC602F">
      <w:pPr>
        <w:pStyle w:val="Index1"/>
        <w:tabs>
          <w:tab w:val="right" w:pos="5030"/>
        </w:tabs>
        <w:rPr>
          <w:noProof/>
        </w:rPr>
      </w:pPr>
      <w:r>
        <w:rPr>
          <w:noProof/>
        </w:rPr>
        <w:t>Microsoft Dynamics CRM 2015, 22</w:t>
      </w:r>
    </w:p>
    <w:p w:rsidR="00AC602F" w:rsidRDefault="00AC602F">
      <w:pPr>
        <w:pStyle w:val="Index1"/>
        <w:tabs>
          <w:tab w:val="right" w:pos="5030"/>
        </w:tabs>
        <w:rPr>
          <w:noProof/>
        </w:rPr>
      </w:pPr>
      <w:r>
        <w:rPr>
          <w:noProof/>
        </w:rPr>
        <w:t>Microsoft Dynamics CRM 2016 Basic CAL, 21</w:t>
      </w:r>
    </w:p>
    <w:p w:rsidR="00AC602F" w:rsidRDefault="00AC602F">
      <w:pPr>
        <w:pStyle w:val="Index1"/>
        <w:tabs>
          <w:tab w:val="right" w:pos="5030"/>
        </w:tabs>
        <w:rPr>
          <w:noProof/>
        </w:rPr>
      </w:pPr>
      <w:r>
        <w:rPr>
          <w:noProof/>
        </w:rPr>
        <w:t>Microsoft Dynamics CRM 2016 Essentials CAL, 21</w:t>
      </w:r>
    </w:p>
    <w:p w:rsidR="00AC602F" w:rsidRDefault="00AC602F">
      <w:pPr>
        <w:pStyle w:val="Index1"/>
        <w:tabs>
          <w:tab w:val="right" w:pos="5030"/>
        </w:tabs>
        <w:rPr>
          <w:noProof/>
        </w:rPr>
      </w:pPr>
      <w:r>
        <w:rPr>
          <w:noProof/>
        </w:rPr>
        <w:t>Microsoft Dynamics CRM 2016 Professional Additive CAL, 22</w:t>
      </w:r>
    </w:p>
    <w:p w:rsidR="00AC602F" w:rsidRDefault="00AC602F">
      <w:pPr>
        <w:pStyle w:val="Index1"/>
        <w:tabs>
          <w:tab w:val="right" w:pos="5030"/>
        </w:tabs>
        <w:rPr>
          <w:noProof/>
        </w:rPr>
      </w:pPr>
      <w:r>
        <w:rPr>
          <w:noProof/>
        </w:rPr>
        <w:t>Microsoft Dynamics CRM 2016 Professional CAL, 22</w:t>
      </w:r>
    </w:p>
    <w:p w:rsidR="00AC602F" w:rsidRDefault="00AC602F">
      <w:pPr>
        <w:pStyle w:val="Index1"/>
        <w:tabs>
          <w:tab w:val="right" w:pos="5030"/>
        </w:tabs>
        <w:rPr>
          <w:noProof/>
        </w:rPr>
      </w:pPr>
      <w:r>
        <w:rPr>
          <w:noProof/>
        </w:rPr>
        <w:t>Microsoft Dynamics CRM Basic Additive CAL, 60</w:t>
      </w:r>
    </w:p>
    <w:p w:rsidR="00AC602F" w:rsidRDefault="00AC602F">
      <w:pPr>
        <w:pStyle w:val="Index1"/>
        <w:tabs>
          <w:tab w:val="right" w:pos="5030"/>
        </w:tabs>
        <w:rPr>
          <w:noProof/>
        </w:rPr>
      </w:pPr>
      <w:r>
        <w:rPr>
          <w:noProof/>
        </w:rPr>
        <w:t>Microsoft Dynamics CRM Basic CAL, 60</w:t>
      </w:r>
    </w:p>
    <w:p w:rsidR="00AC602F" w:rsidRDefault="00AC602F">
      <w:pPr>
        <w:pStyle w:val="Index1"/>
        <w:tabs>
          <w:tab w:val="right" w:pos="5030"/>
        </w:tabs>
        <w:rPr>
          <w:noProof/>
        </w:rPr>
      </w:pPr>
      <w:r>
        <w:rPr>
          <w:noProof/>
        </w:rPr>
        <w:t>Microsoft Dynamics CRM CAL, 82</w:t>
      </w:r>
    </w:p>
    <w:p w:rsidR="00AC602F" w:rsidRDefault="00AC602F">
      <w:pPr>
        <w:pStyle w:val="Index1"/>
        <w:tabs>
          <w:tab w:val="right" w:pos="5030"/>
        </w:tabs>
        <w:rPr>
          <w:noProof/>
        </w:rPr>
      </w:pPr>
      <w:r>
        <w:rPr>
          <w:noProof/>
        </w:rPr>
        <w:t>Microsoft Dynamics CRM Essential CAL, 60</w:t>
      </w:r>
    </w:p>
    <w:p w:rsidR="00AC602F" w:rsidRDefault="00AC602F">
      <w:pPr>
        <w:pStyle w:val="Index1"/>
        <w:tabs>
          <w:tab w:val="right" w:pos="5030"/>
        </w:tabs>
        <w:rPr>
          <w:noProof/>
        </w:rPr>
      </w:pPr>
      <w:r>
        <w:rPr>
          <w:noProof/>
        </w:rPr>
        <w:t>Microsoft Dynamics CRM Online Additional Non-Production Instance, 60</w:t>
      </w:r>
    </w:p>
    <w:p w:rsidR="00AC602F" w:rsidRDefault="00AC602F">
      <w:pPr>
        <w:pStyle w:val="Index1"/>
        <w:tabs>
          <w:tab w:val="right" w:pos="5030"/>
        </w:tabs>
        <w:rPr>
          <w:noProof/>
        </w:rPr>
      </w:pPr>
      <w:r>
        <w:rPr>
          <w:noProof/>
        </w:rPr>
        <w:t>Microsoft Dynamics CRM Online Additional Portal Page Views (SL de Suplemento), 60</w:t>
      </w:r>
    </w:p>
    <w:p w:rsidR="00AC602F" w:rsidRDefault="00AC602F">
      <w:pPr>
        <w:pStyle w:val="Index1"/>
        <w:tabs>
          <w:tab w:val="right" w:pos="5030"/>
        </w:tabs>
        <w:rPr>
          <w:noProof/>
        </w:rPr>
      </w:pPr>
      <w:r>
        <w:rPr>
          <w:noProof/>
        </w:rPr>
        <w:t>Microsoft Dynamics CRM Online Additional Production Instance, 60</w:t>
      </w:r>
    </w:p>
    <w:p w:rsidR="00AC602F" w:rsidRDefault="00AC602F">
      <w:pPr>
        <w:pStyle w:val="Index1"/>
        <w:tabs>
          <w:tab w:val="right" w:pos="5030"/>
        </w:tabs>
        <w:rPr>
          <w:noProof/>
        </w:rPr>
      </w:pPr>
      <w:r>
        <w:rPr>
          <w:noProof/>
        </w:rPr>
        <w:t>Microsoft Dynamics CRM Online Additional Storage, 60</w:t>
      </w:r>
    </w:p>
    <w:p w:rsidR="00AC602F" w:rsidRDefault="00AC602F">
      <w:pPr>
        <w:pStyle w:val="Index1"/>
        <w:tabs>
          <w:tab w:val="right" w:pos="5030"/>
        </w:tabs>
        <w:rPr>
          <w:noProof/>
        </w:rPr>
      </w:pPr>
      <w:r>
        <w:rPr>
          <w:noProof/>
        </w:rPr>
        <w:t>Microsoft Dynamics CRM Online Basic, 60</w:t>
      </w:r>
    </w:p>
    <w:p w:rsidR="00AC602F" w:rsidRDefault="00AC602F">
      <w:pPr>
        <w:pStyle w:val="Index1"/>
        <w:tabs>
          <w:tab w:val="right" w:pos="5030"/>
        </w:tabs>
        <w:rPr>
          <w:noProof/>
        </w:rPr>
      </w:pPr>
      <w:r>
        <w:rPr>
          <w:noProof/>
        </w:rPr>
        <w:t>Microsoft Dynamics CRM Online Basic para SA, 60</w:t>
      </w:r>
    </w:p>
    <w:p w:rsidR="00AC602F" w:rsidRDefault="00AC602F">
      <w:pPr>
        <w:pStyle w:val="Index1"/>
        <w:tabs>
          <w:tab w:val="right" w:pos="5030"/>
        </w:tabs>
        <w:rPr>
          <w:noProof/>
        </w:rPr>
      </w:pPr>
      <w:r>
        <w:rPr>
          <w:noProof/>
        </w:rPr>
        <w:t>Microsoft Dynamics CRM Online Enterprise, 60</w:t>
      </w:r>
    </w:p>
    <w:p w:rsidR="00AC602F" w:rsidRDefault="00AC602F">
      <w:pPr>
        <w:pStyle w:val="Index1"/>
        <w:tabs>
          <w:tab w:val="right" w:pos="5030"/>
        </w:tabs>
        <w:rPr>
          <w:noProof/>
        </w:rPr>
      </w:pPr>
      <w:r>
        <w:rPr>
          <w:noProof/>
        </w:rPr>
        <w:t>Microsoft Dynamics CRM Online Enterprise para SA, 60</w:t>
      </w:r>
    </w:p>
    <w:p w:rsidR="00AC602F" w:rsidRDefault="00AC602F">
      <w:pPr>
        <w:pStyle w:val="Index1"/>
        <w:tabs>
          <w:tab w:val="right" w:pos="5030"/>
        </w:tabs>
        <w:rPr>
          <w:noProof/>
        </w:rPr>
      </w:pPr>
      <w:r>
        <w:rPr>
          <w:noProof/>
        </w:rPr>
        <w:t>Microsoft Dynamics CRM Online Essential, 60</w:t>
      </w:r>
    </w:p>
    <w:p w:rsidR="00AC602F" w:rsidRDefault="00AC602F">
      <w:pPr>
        <w:pStyle w:val="Index1"/>
        <w:tabs>
          <w:tab w:val="right" w:pos="5030"/>
        </w:tabs>
        <w:rPr>
          <w:noProof/>
        </w:rPr>
      </w:pPr>
      <w:r>
        <w:rPr>
          <w:noProof/>
        </w:rPr>
        <w:t>Microsoft Dynamics CRM Online Essential para SA, 60</w:t>
      </w:r>
    </w:p>
    <w:p w:rsidR="00AC602F" w:rsidRDefault="00AC602F">
      <w:pPr>
        <w:pStyle w:val="Index1"/>
        <w:tabs>
          <w:tab w:val="right" w:pos="5030"/>
        </w:tabs>
        <w:rPr>
          <w:noProof/>
        </w:rPr>
      </w:pPr>
      <w:r>
        <w:rPr>
          <w:noProof/>
        </w:rPr>
        <w:t>Microsoft Dynamics CRM Online Portal, 60</w:t>
      </w:r>
    </w:p>
    <w:p w:rsidR="00AC602F" w:rsidRDefault="00AC602F">
      <w:pPr>
        <w:pStyle w:val="Index1"/>
        <w:tabs>
          <w:tab w:val="right" w:pos="5030"/>
        </w:tabs>
        <w:rPr>
          <w:noProof/>
        </w:rPr>
      </w:pPr>
      <w:r>
        <w:rPr>
          <w:noProof/>
        </w:rPr>
        <w:t>Microsoft Dynamics CRM Online Professional, 60</w:t>
      </w:r>
    </w:p>
    <w:p w:rsidR="00AC602F" w:rsidRDefault="00AC602F">
      <w:pPr>
        <w:pStyle w:val="Index1"/>
        <w:tabs>
          <w:tab w:val="right" w:pos="5030"/>
        </w:tabs>
        <w:rPr>
          <w:noProof/>
        </w:rPr>
      </w:pPr>
      <w:r>
        <w:rPr>
          <w:noProof/>
        </w:rPr>
        <w:t>Microsoft Dynamics CRM Online Professional para SA, 60</w:t>
      </w:r>
    </w:p>
    <w:p w:rsidR="00AC602F" w:rsidRDefault="00AC602F">
      <w:pPr>
        <w:pStyle w:val="Index1"/>
        <w:tabs>
          <w:tab w:val="right" w:pos="5030"/>
        </w:tabs>
        <w:rPr>
          <w:noProof/>
        </w:rPr>
      </w:pPr>
      <w:r>
        <w:rPr>
          <w:noProof/>
        </w:rPr>
        <w:t>Microsoft Dynamics CRM Professional Additive CAL, 60</w:t>
      </w:r>
    </w:p>
    <w:p w:rsidR="00AC602F" w:rsidRDefault="00AC602F">
      <w:pPr>
        <w:pStyle w:val="Index1"/>
        <w:tabs>
          <w:tab w:val="right" w:pos="5030"/>
        </w:tabs>
        <w:rPr>
          <w:noProof/>
        </w:rPr>
      </w:pPr>
      <w:r>
        <w:rPr>
          <w:noProof/>
        </w:rPr>
        <w:t>Microsoft Dynamics CRM Professional CAL, 60, 61</w:t>
      </w:r>
    </w:p>
    <w:p w:rsidR="00AC602F" w:rsidRDefault="00AC602F">
      <w:pPr>
        <w:pStyle w:val="Index1"/>
        <w:tabs>
          <w:tab w:val="right" w:pos="5030"/>
        </w:tabs>
        <w:rPr>
          <w:noProof/>
        </w:rPr>
      </w:pPr>
      <w:r>
        <w:rPr>
          <w:noProof/>
        </w:rPr>
        <w:t>Microsoft Dynamics CRM Server, 88</w:t>
      </w:r>
    </w:p>
    <w:p w:rsidR="00AC602F" w:rsidRDefault="00AC602F">
      <w:pPr>
        <w:pStyle w:val="Index1"/>
        <w:tabs>
          <w:tab w:val="right" w:pos="5030"/>
        </w:tabs>
        <w:rPr>
          <w:noProof/>
        </w:rPr>
      </w:pPr>
      <w:r>
        <w:rPr>
          <w:noProof/>
        </w:rPr>
        <w:t>Microsoft Dynamics CRM Server 2011, 82</w:t>
      </w:r>
    </w:p>
    <w:p w:rsidR="00AC602F" w:rsidRDefault="00AC602F">
      <w:pPr>
        <w:pStyle w:val="Index1"/>
        <w:tabs>
          <w:tab w:val="right" w:pos="5030"/>
        </w:tabs>
        <w:rPr>
          <w:noProof/>
        </w:rPr>
      </w:pPr>
      <w:r>
        <w:rPr>
          <w:noProof/>
        </w:rPr>
        <w:t>Microsoft Dynamics CRM Server 2013, 82</w:t>
      </w:r>
    </w:p>
    <w:p w:rsidR="00AC602F" w:rsidRDefault="00AC602F">
      <w:pPr>
        <w:pStyle w:val="Index1"/>
        <w:tabs>
          <w:tab w:val="right" w:pos="5030"/>
        </w:tabs>
        <w:rPr>
          <w:noProof/>
        </w:rPr>
      </w:pPr>
      <w:r>
        <w:rPr>
          <w:noProof/>
        </w:rPr>
        <w:t>Microsoft Dynamics CRM Server 2015, 82</w:t>
      </w:r>
    </w:p>
    <w:p w:rsidR="00AC602F" w:rsidRDefault="00AC602F">
      <w:pPr>
        <w:pStyle w:val="Index1"/>
        <w:tabs>
          <w:tab w:val="right" w:pos="5030"/>
        </w:tabs>
        <w:rPr>
          <w:noProof/>
        </w:rPr>
      </w:pPr>
      <w:r>
        <w:rPr>
          <w:noProof/>
        </w:rPr>
        <w:t>Microsoft Dynamics CRM Server 2016, 21</w:t>
      </w:r>
    </w:p>
    <w:p w:rsidR="00AC602F" w:rsidRDefault="00AC602F">
      <w:pPr>
        <w:pStyle w:val="Index1"/>
        <w:tabs>
          <w:tab w:val="right" w:pos="5030"/>
        </w:tabs>
        <w:rPr>
          <w:noProof/>
        </w:rPr>
      </w:pPr>
      <w:r>
        <w:rPr>
          <w:noProof/>
        </w:rPr>
        <w:t>Microsoft Dynamics CRM Workgroup Server, 88</w:t>
      </w:r>
    </w:p>
    <w:p w:rsidR="00AC602F" w:rsidRDefault="00AC602F">
      <w:pPr>
        <w:pStyle w:val="Index1"/>
        <w:tabs>
          <w:tab w:val="right" w:pos="5030"/>
        </w:tabs>
        <w:rPr>
          <w:noProof/>
        </w:rPr>
      </w:pPr>
      <w:r>
        <w:rPr>
          <w:noProof/>
        </w:rPr>
        <w:t>Microsoft Dynamics CRM Workgroup Server 2016, 21</w:t>
      </w:r>
    </w:p>
    <w:p w:rsidR="00AC602F" w:rsidRDefault="00AC602F">
      <w:pPr>
        <w:pStyle w:val="Index1"/>
        <w:tabs>
          <w:tab w:val="right" w:pos="5030"/>
        </w:tabs>
        <w:rPr>
          <w:noProof/>
        </w:rPr>
      </w:pPr>
      <w:r>
        <w:rPr>
          <w:noProof/>
        </w:rPr>
        <w:t>Microsoft Dynamics Employee Self Service (SL de Utilizador), 60</w:t>
      </w:r>
    </w:p>
    <w:p w:rsidR="00AC602F" w:rsidRDefault="00AC602F">
      <w:pPr>
        <w:pStyle w:val="Index1"/>
        <w:tabs>
          <w:tab w:val="right" w:pos="5030"/>
        </w:tabs>
        <w:rPr>
          <w:noProof/>
        </w:rPr>
      </w:pPr>
      <w:r>
        <w:rPr>
          <w:noProof/>
        </w:rPr>
        <w:t>Microsoft Dynamics Marketing Enterprise, 61</w:t>
      </w:r>
    </w:p>
    <w:p w:rsidR="00AC602F" w:rsidRDefault="00AC602F">
      <w:pPr>
        <w:pStyle w:val="Index1"/>
        <w:tabs>
          <w:tab w:val="right" w:pos="5030"/>
        </w:tabs>
        <w:rPr>
          <w:noProof/>
        </w:rPr>
      </w:pPr>
      <w:r>
        <w:rPr>
          <w:noProof/>
        </w:rPr>
        <w:t>Microsoft Dynamics Marketing Enterprise Extra Storage, 61</w:t>
      </w:r>
    </w:p>
    <w:p w:rsidR="00AC602F" w:rsidRDefault="00AC602F">
      <w:pPr>
        <w:pStyle w:val="Index1"/>
        <w:tabs>
          <w:tab w:val="right" w:pos="5030"/>
        </w:tabs>
        <w:rPr>
          <w:noProof/>
        </w:rPr>
      </w:pPr>
      <w:r>
        <w:rPr>
          <w:noProof/>
        </w:rPr>
        <w:t>Microsoft Dynamics Marketing Extra Messages, 61</w:t>
      </w:r>
    </w:p>
    <w:p w:rsidR="00AC602F" w:rsidRDefault="00AC602F">
      <w:pPr>
        <w:pStyle w:val="Index1"/>
        <w:tabs>
          <w:tab w:val="right" w:pos="5030"/>
        </w:tabs>
        <w:rPr>
          <w:noProof/>
        </w:rPr>
      </w:pPr>
      <w:r>
        <w:rPr>
          <w:noProof/>
        </w:rPr>
        <w:t>Microsoft Dynamics Marketing Sales Collaboration, 60, 61</w:t>
      </w:r>
    </w:p>
    <w:p w:rsidR="00AC602F" w:rsidRDefault="00AC602F">
      <w:pPr>
        <w:pStyle w:val="Index1"/>
        <w:tabs>
          <w:tab w:val="right" w:pos="5030"/>
        </w:tabs>
        <w:rPr>
          <w:noProof/>
        </w:rPr>
      </w:pPr>
      <w:r>
        <w:rPr>
          <w:noProof/>
        </w:rPr>
        <w:t>Microsoft Dynamics Marketing SMS Credit (SL de Suplementos), 61</w:t>
      </w:r>
    </w:p>
    <w:p w:rsidR="00AC602F" w:rsidRDefault="00AC602F">
      <w:pPr>
        <w:pStyle w:val="Index1"/>
        <w:tabs>
          <w:tab w:val="right" w:pos="5030"/>
        </w:tabs>
        <w:rPr>
          <w:noProof/>
        </w:rPr>
      </w:pPr>
      <w:r>
        <w:rPr>
          <w:noProof/>
        </w:rPr>
        <w:t>Microsoft Intune, 17, 35, 58</w:t>
      </w:r>
    </w:p>
    <w:p w:rsidR="00AC602F" w:rsidRDefault="00AC602F">
      <w:pPr>
        <w:pStyle w:val="Index1"/>
        <w:tabs>
          <w:tab w:val="right" w:pos="5030"/>
        </w:tabs>
        <w:rPr>
          <w:noProof/>
        </w:rPr>
      </w:pPr>
      <w:r>
        <w:rPr>
          <w:noProof/>
        </w:rPr>
        <w:t>Microsoft Intune User SL Add-on Extra Storage 1 GB, 58</w:t>
      </w:r>
    </w:p>
    <w:p w:rsidR="00AC602F" w:rsidRDefault="00AC602F">
      <w:pPr>
        <w:pStyle w:val="Index1"/>
        <w:tabs>
          <w:tab w:val="right" w:pos="5030"/>
        </w:tabs>
        <w:rPr>
          <w:noProof/>
        </w:rPr>
      </w:pPr>
      <w:r>
        <w:rPr>
          <w:noProof/>
        </w:rPr>
        <w:t>Microsoft Learning E-Reference Library, 71</w:t>
      </w:r>
    </w:p>
    <w:p w:rsidR="00AC602F" w:rsidRDefault="00AC602F">
      <w:pPr>
        <w:pStyle w:val="Index1"/>
        <w:tabs>
          <w:tab w:val="right" w:pos="5030"/>
        </w:tabs>
        <w:rPr>
          <w:noProof/>
        </w:rPr>
      </w:pPr>
      <w:r>
        <w:rPr>
          <w:noProof/>
        </w:rPr>
        <w:t>Microsoft Learning Imagine Academy, 71</w:t>
      </w:r>
    </w:p>
    <w:p w:rsidR="00AC602F" w:rsidRDefault="00AC602F">
      <w:pPr>
        <w:pStyle w:val="Index1"/>
        <w:tabs>
          <w:tab w:val="right" w:pos="5030"/>
        </w:tabs>
        <w:rPr>
          <w:noProof/>
        </w:rPr>
      </w:pPr>
      <w:r>
        <w:rPr>
          <w:noProof/>
        </w:rPr>
        <w:t>Microsoft Learning MCP 1 Exam Vouchers, 71</w:t>
      </w:r>
    </w:p>
    <w:p w:rsidR="00AC602F" w:rsidRDefault="00AC602F">
      <w:pPr>
        <w:pStyle w:val="Index1"/>
        <w:tabs>
          <w:tab w:val="right" w:pos="5030"/>
        </w:tabs>
        <w:rPr>
          <w:noProof/>
        </w:rPr>
      </w:pPr>
      <w:r>
        <w:rPr>
          <w:noProof/>
        </w:rPr>
        <w:t>Microsoft Learning MCP 30 Exam Vouchers, 71</w:t>
      </w:r>
    </w:p>
    <w:p w:rsidR="00AC602F" w:rsidRDefault="00AC602F">
      <w:pPr>
        <w:pStyle w:val="Index1"/>
        <w:tabs>
          <w:tab w:val="right" w:pos="5030"/>
        </w:tabs>
        <w:rPr>
          <w:noProof/>
        </w:rPr>
      </w:pPr>
      <w:r>
        <w:rPr>
          <w:noProof/>
        </w:rPr>
        <w:t>Microsoft Learning MOS 500 Exam Site License, 71</w:t>
      </w:r>
    </w:p>
    <w:p w:rsidR="00AC602F" w:rsidRDefault="00AC602F">
      <w:pPr>
        <w:pStyle w:val="Index1"/>
        <w:tabs>
          <w:tab w:val="right" w:pos="5030"/>
        </w:tabs>
        <w:rPr>
          <w:noProof/>
        </w:rPr>
      </w:pPr>
      <w:r>
        <w:rPr>
          <w:noProof/>
        </w:rPr>
        <w:t>Microsoft Learning MTA 250 Exam Site License, 71</w:t>
      </w:r>
    </w:p>
    <w:p w:rsidR="00AC602F" w:rsidRDefault="00AC602F">
      <w:pPr>
        <w:pStyle w:val="Index1"/>
        <w:tabs>
          <w:tab w:val="right" w:pos="5030"/>
        </w:tabs>
        <w:rPr>
          <w:noProof/>
        </w:rPr>
      </w:pPr>
      <w:r>
        <w:rPr>
          <w:noProof/>
        </w:rPr>
        <w:t>Microsoft Office Audit and Control Management Server 2013, 28</w:t>
      </w:r>
    </w:p>
    <w:p w:rsidR="00AC602F" w:rsidRDefault="00AC602F">
      <w:pPr>
        <w:pStyle w:val="Index1"/>
        <w:tabs>
          <w:tab w:val="right" w:pos="5030"/>
        </w:tabs>
        <w:rPr>
          <w:noProof/>
        </w:rPr>
      </w:pPr>
      <w:r>
        <w:rPr>
          <w:noProof/>
        </w:rPr>
        <w:t>Microsoft Social Engagement, 60</w:t>
      </w:r>
    </w:p>
    <w:p w:rsidR="00AC602F" w:rsidRDefault="00AC602F">
      <w:pPr>
        <w:pStyle w:val="Index1"/>
        <w:tabs>
          <w:tab w:val="right" w:pos="5030"/>
        </w:tabs>
        <w:rPr>
          <w:noProof/>
        </w:rPr>
      </w:pPr>
      <w:r>
        <w:rPr>
          <w:noProof/>
        </w:rPr>
        <w:t>Microsoft Social Engagement Additional Posts, 61</w:t>
      </w:r>
    </w:p>
    <w:p w:rsidR="00AC602F" w:rsidRDefault="00AC602F">
      <w:pPr>
        <w:pStyle w:val="Index1"/>
        <w:tabs>
          <w:tab w:val="right" w:pos="5030"/>
        </w:tabs>
        <w:rPr>
          <w:noProof/>
        </w:rPr>
      </w:pPr>
      <w:r>
        <w:rPr>
          <w:noProof/>
        </w:rPr>
        <w:t>Microsoft Social Engagement Enterprise, 61</w:t>
      </w:r>
    </w:p>
    <w:p w:rsidR="00AC602F" w:rsidRDefault="00AC602F">
      <w:pPr>
        <w:pStyle w:val="Index1"/>
        <w:tabs>
          <w:tab w:val="right" w:pos="5030"/>
        </w:tabs>
        <w:rPr>
          <w:noProof/>
        </w:rPr>
      </w:pPr>
      <w:r>
        <w:rPr>
          <w:noProof/>
        </w:rPr>
        <w:t>Microsoft Social Engagement Professional, 61</w:t>
      </w:r>
    </w:p>
    <w:p w:rsidR="00AC602F" w:rsidRDefault="00AC602F">
      <w:pPr>
        <w:pStyle w:val="Index1"/>
        <w:tabs>
          <w:tab w:val="right" w:pos="5030"/>
        </w:tabs>
        <w:rPr>
          <w:noProof/>
        </w:rPr>
      </w:pPr>
      <w:r>
        <w:rPr>
          <w:noProof/>
        </w:rPr>
        <w:t>Microsoft Social Engagement Professional Add-on, 61</w:t>
      </w:r>
    </w:p>
    <w:p w:rsidR="00AC602F" w:rsidRDefault="00AC602F">
      <w:pPr>
        <w:pStyle w:val="Index1"/>
        <w:tabs>
          <w:tab w:val="right" w:pos="5030"/>
        </w:tabs>
        <w:rPr>
          <w:noProof/>
        </w:rPr>
      </w:pPr>
      <w:r>
        <w:rPr>
          <w:noProof/>
        </w:rPr>
        <w:t>MultiFactor Authentication, 57</w:t>
      </w:r>
    </w:p>
    <w:p w:rsidR="00AC602F" w:rsidRDefault="00AC602F">
      <w:pPr>
        <w:pStyle w:val="Index1"/>
        <w:tabs>
          <w:tab w:val="right" w:pos="5030"/>
        </w:tabs>
        <w:rPr>
          <w:noProof/>
        </w:rPr>
      </w:pPr>
      <w:r>
        <w:rPr>
          <w:noProof/>
        </w:rPr>
        <w:t>Office 2013, 24</w:t>
      </w:r>
    </w:p>
    <w:p w:rsidR="00AC602F" w:rsidRDefault="00AC602F">
      <w:pPr>
        <w:pStyle w:val="Index1"/>
        <w:tabs>
          <w:tab w:val="right" w:pos="5030"/>
        </w:tabs>
        <w:rPr>
          <w:noProof/>
        </w:rPr>
      </w:pPr>
      <w:r>
        <w:rPr>
          <w:noProof/>
        </w:rPr>
        <w:t>Office 2016 para Mac Standard, 25</w:t>
      </w:r>
    </w:p>
    <w:p w:rsidR="00AC602F" w:rsidRDefault="00AC602F">
      <w:pPr>
        <w:pStyle w:val="Index1"/>
        <w:tabs>
          <w:tab w:val="right" w:pos="5030"/>
        </w:tabs>
        <w:rPr>
          <w:noProof/>
        </w:rPr>
      </w:pPr>
      <w:r>
        <w:rPr>
          <w:noProof/>
        </w:rPr>
        <w:t>Office 365 Advanced eDiscovery, 67</w:t>
      </w:r>
    </w:p>
    <w:p w:rsidR="00AC602F" w:rsidRDefault="00AC602F">
      <w:pPr>
        <w:pStyle w:val="Index1"/>
        <w:tabs>
          <w:tab w:val="right" w:pos="5030"/>
        </w:tabs>
        <w:rPr>
          <w:noProof/>
        </w:rPr>
      </w:pPr>
      <w:r>
        <w:rPr>
          <w:noProof/>
        </w:rPr>
        <w:t>Office 365 Advanced Security Management (SL de Utilizador), 66</w:t>
      </w:r>
    </w:p>
    <w:p w:rsidR="00AC602F" w:rsidRDefault="00AC602F">
      <w:pPr>
        <w:pStyle w:val="Index1"/>
        <w:tabs>
          <w:tab w:val="right" w:pos="5030"/>
        </w:tabs>
        <w:rPr>
          <w:noProof/>
        </w:rPr>
      </w:pPr>
      <w:r>
        <w:rPr>
          <w:noProof/>
        </w:rPr>
        <w:t>Office 365 Customer Lockbox, 66</w:t>
      </w:r>
    </w:p>
    <w:p w:rsidR="00AC602F" w:rsidRDefault="00AC602F">
      <w:pPr>
        <w:pStyle w:val="Index1"/>
        <w:tabs>
          <w:tab w:val="right" w:pos="5030"/>
        </w:tabs>
        <w:rPr>
          <w:noProof/>
        </w:rPr>
      </w:pPr>
      <w:r>
        <w:rPr>
          <w:noProof/>
        </w:rPr>
        <w:t>Office 365 Delve Analytics, 67</w:t>
      </w:r>
    </w:p>
    <w:p w:rsidR="00AC602F" w:rsidRDefault="00AC602F">
      <w:pPr>
        <w:pStyle w:val="Index1"/>
        <w:tabs>
          <w:tab w:val="right" w:pos="5030"/>
        </w:tabs>
        <w:rPr>
          <w:noProof/>
        </w:rPr>
      </w:pPr>
      <w:r>
        <w:rPr>
          <w:noProof/>
        </w:rPr>
        <w:t>Office 365 E3 de SA Existente, 58</w:t>
      </w:r>
    </w:p>
    <w:p w:rsidR="00AC602F" w:rsidRDefault="00AC602F">
      <w:pPr>
        <w:pStyle w:val="Index1"/>
        <w:tabs>
          <w:tab w:val="right" w:pos="5030"/>
        </w:tabs>
        <w:rPr>
          <w:noProof/>
        </w:rPr>
      </w:pPr>
      <w:r>
        <w:rPr>
          <w:noProof/>
        </w:rPr>
        <w:t>Office 365 Educação E5, 64</w:t>
      </w:r>
    </w:p>
    <w:p w:rsidR="00AC602F" w:rsidRDefault="00AC602F">
      <w:pPr>
        <w:pStyle w:val="Index1"/>
        <w:tabs>
          <w:tab w:val="right" w:pos="5030"/>
        </w:tabs>
        <w:rPr>
          <w:noProof/>
        </w:rPr>
      </w:pPr>
      <w:r>
        <w:rPr>
          <w:noProof/>
        </w:rPr>
        <w:t>Office 365 Education, 64</w:t>
      </w:r>
    </w:p>
    <w:p w:rsidR="00AC602F" w:rsidRDefault="00AC602F">
      <w:pPr>
        <w:pStyle w:val="Index1"/>
        <w:tabs>
          <w:tab w:val="right" w:pos="5030"/>
        </w:tabs>
        <w:rPr>
          <w:noProof/>
        </w:rPr>
      </w:pPr>
      <w:r>
        <w:rPr>
          <w:noProof/>
        </w:rPr>
        <w:t>Office 365 Empresas, 62</w:t>
      </w:r>
    </w:p>
    <w:p w:rsidR="00AC602F" w:rsidRDefault="00AC602F">
      <w:pPr>
        <w:pStyle w:val="Index1"/>
        <w:tabs>
          <w:tab w:val="right" w:pos="5030"/>
        </w:tabs>
        <w:rPr>
          <w:noProof/>
        </w:rPr>
      </w:pPr>
      <w:r>
        <w:rPr>
          <w:noProof/>
        </w:rPr>
        <w:t>Office 365 Empresas - Versão Essentials, 63</w:t>
      </w:r>
    </w:p>
    <w:p w:rsidR="00AC602F" w:rsidRDefault="00AC602F">
      <w:pPr>
        <w:pStyle w:val="Index1"/>
        <w:tabs>
          <w:tab w:val="right" w:pos="5030"/>
        </w:tabs>
        <w:rPr>
          <w:noProof/>
        </w:rPr>
      </w:pPr>
      <w:r>
        <w:rPr>
          <w:noProof/>
        </w:rPr>
        <w:t>Office 365 Empresas - Versão Premium, 64</w:t>
      </w:r>
    </w:p>
    <w:p w:rsidR="00AC602F" w:rsidRDefault="00AC602F">
      <w:pPr>
        <w:pStyle w:val="Index1"/>
        <w:tabs>
          <w:tab w:val="right" w:pos="5030"/>
        </w:tabs>
        <w:rPr>
          <w:noProof/>
        </w:rPr>
      </w:pPr>
      <w:r>
        <w:rPr>
          <w:noProof/>
        </w:rPr>
        <w:t>Office 365 Enterprise, 17</w:t>
      </w:r>
    </w:p>
    <w:p w:rsidR="00AC602F" w:rsidRDefault="00AC602F">
      <w:pPr>
        <w:pStyle w:val="Index1"/>
        <w:tabs>
          <w:tab w:val="right" w:pos="5030"/>
        </w:tabs>
        <w:rPr>
          <w:noProof/>
        </w:rPr>
      </w:pPr>
      <w:r>
        <w:rPr>
          <w:noProof/>
        </w:rPr>
        <w:t>Office 365 Enterprise E1, 17, 64</w:t>
      </w:r>
    </w:p>
    <w:p w:rsidR="00AC602F" w:rsidRDefault="00AC602F">
      <w:pPr>
        <w:pStyle w:val="Index1"/>
        <w:tabs>
          <w:tab w:val="right" w:pos="5030"/>
        </w:tabs>
        <w:rPr>
          <w:noProof/>
        </w:rPr>
      </w:pPr>
      <w:r>
        <w:rPr>
          <w:noProof/>
        </w:rPr>
        <w:t>Office 365 Enterprise E1 de SA Existente, 64</w:t>
      </w:r>
    </w:p>
    <w:p w:rsidR="00AC602F" w:rsidRDefault="00AC602F">
      <w:pPr>
        <w:pStyle w:val="Index1"/>
        <w:tabs>
          <w:tab w:val="right" w:pos="5030"/>
        </w:tabs>
        <w:rPr>
          <w:noProof/>
        </w:rPr>
      </w:pPr>
      <w:r>
        <w:rPr>
          <w:noProof/>
        </w:rPr>
        <w:t>Office 365 Enterprise E1 e Microsoft Intune, 17</w:t>
      </w:r>
    </w:p>
    <w:p w:rsidR="00AC602F" w:rsidRDefault="00AC602F">
      <w:pPr>
        <w:pStyle w:val="Index1"/>
        <w:tabs>
          <w:tab w:val="right" w:pos="5030"/>
        </w:tabs>
        <w:rPr>
          <w:noProof/>
        </w:rPr>
      </w:pPr>
      <w:r>
        <w:rPr>
          <w:noProof/>
        </w:rPr>
        <w:t>Office 365 Enterprise E3, 17, 58, 64</w:t>
      </w:r>
    </w:p>
    <w:p w:rsidR="00AC602F" w:rsidRDefault="00AC602F">
      <w:pPr>
        <w:pStyle w:val="Index1"/>
        <w:tabs>
          <w:tab w:val="right" w:pos="5030"/>
        </w:tabs>
        <w:rPr>
          <w:noProof/>
        </w:rPr>
      </w:pPr>
      <w:r>
        <w:rPr>
          <w:noProof/>
        </w:rPr>
        <w:t>Office 365 Enterprise E3 de SA Existente, 64</w:t>
      </w:r>
    </w:p>
    <w:p w:rsidR="00AC602F" w:rsidRDefault="00AC602F">
      <w:pPr>
        <w:pStyle w:val="Index1"/>
        <w:tabs>
          <w:tab w:val="right" w:pos="5030"/>
        </w:tabs>
        <w:rPr>
          <w:noProof/>
        </w:rPr>
      </w:pPr>
      <w:r>
        <w:rPr>
          <w:noProof/>
        </w:rPr>
        <w:t>Office 365 Enterprise E3 e Microsoft Intune, 17</w:t>
      </w:r>
    </w:p>
    <w:p w:rsidR="00AC602F" w:rsidRDefault="00AC602F">
      <w:pPr>
        <w:pStyle w:val="Index1"/>
        <w:tabs>
          <w:tab w:val="right" w:pos="5030"/>
        </w:tabs>
        <w:rPr>
          <w:noProof/>
        </w:rPr>
      </w:pPr>
      <w:r>
        <w:rPr>
          <w:noProof/>
        </w:rPr>
        <w:t>Office 365 Enterprise E4, 17, 64</w:t>
      </w:r>
    </w:p>
    <w:p w:rsidR="00AC602F" w:rsidRDefault="00AC602F">
      <w:pPr>
        <w:pStyle w:val="Index1"/>
        <w:tabs>
          <w:tab w:val="right" w:pos="5030"/>
        </w:tabs>
        <w:rPr>
          <w:noProof/>
        </w:rPr>
      </w:pPr>
      <w:r>
        <w:rPr>
          <w:noProof/>
        </w:rPr>
        <w:t>Office 365 Enterprise E4 de SA Existente, 64</w:t>
      </w:r>
    </w:p>
    <w:p w:rsidR="00AC602F" w:rsidRDefault="00AC602F">
      <w:pPr>
        <w:pStyle w:val="Index1"/>
        <w:tabs>
          <w:tab w:val="right" w:pos="5030"/>
        </w:tabs>
        <w:rPr>
          <w:noProof/>
        </w:rPr>
      </w:pPr>
      <w:r>
        <w:rPr>
          <w:noProof/>
        </w:rPr>
        <w:t>Office 365 Enterprise E4 e Microsoft Intune, 17</w:t>
      </w:r>
    </w:p>
    <w:p w:rsidR="00AC602F" w:rsidRDefault="00AC602F">
      <w:pPr>
        <w:pStyle w:val="Index1"/>
        <w:tabs>
          <w:tab w:val="right" w:pos="5030"/>
        </w:tabs>
        <w:rPr>
          <w:noProof/>
        </w:rPr>
      </w:pPr>
      <w:r>
        <w:rPr>
          <w:noProof/>
        </w:rPr>
        <w:t>Office 365 Enterprise E5 (SL de Utilizador), 64</w:t>
      </w:r>
    </w:p>
    <w:p w:rsidR="00AC602F" w:rsidRDefault="00AC602F">
      <w:pPr>
        <w:pStyle w:val="Index1"/>
        <w:tabs>
          <w:tab w:val="right" w:pos="5030"/>
        </w:tabs>
        <w:rPr>
          <w:noProof/>
        </w:rPr>
      </w:pPr>
      <w:r>
        <w:rPr>
          <w:noProof/>
        </w:rPr>
        <w:t>Office 365 Enterprise E5 de SA Existente, 64</w:t>
      </w:r>
    </w:p>
    <w:p w:rsidR="00AC602F" w:rsidRDefault="00AC602F">
      <w:pPr>
        <w:pStyle w:val="Index1"/>
        <w:tabs>
          <w:tab w:val="right" w:pos="5030"/>
        </w:tabs>
        <w:rPr>
          <w:noProof/>
        </w:rPr>
      </w:pPr>
      <w:r>
        <w:rPr>
          <w:noProof/>
        </w:rPr>
        <w:t>Office 365 Enterprise K1, 64</w:t>
      </w:r>
    </w:p>
    <w:p w:rsidR="00AC602F" w:rsidRDefault="00AC602F">
      <w:pPr>
        <w:pStyle w:val="Index1"/>
        <w:tabs>
          <w:tab w:val="right" w:pos="5030"/>
        </w:tabs>
        <w:rPr>
          <w:noProof/>
        </w:rPr>
      </w:pPr>
      <w:r>
        <w:rPr>
          <w:noProof/>
        </w:rPr>
        <w:t>Office 365 Extra File Storage 1 GB, 69</w:t>
      </w:r>
    </w:p>
    <w:p w:rsidR="00AC602F" w:rsidRDefault="00AC602F">
      <w:pPr>
        <w:pStyle w:val="Index1"/>
        <w:tabs>
          <w:tab w:val="right" w:pos="5030"/>
        </w:tabs>
        <w:rPr>
          <w:noProof/>
        </w:rPr>
      </w:pPr>
      <w:r>
        <w:rPr>
          <w:noProof/>
        </w:rPr>
        <w:t>Office 365 Médias Empresas, 64, 66</w:t>
      </w:r>
    </w:p>
    <w:p w:rsidR="00AC602F" w:rsidRDefault="00AC602F">
      <w:pPr>
        <w:pStyle w:val="Index1"/>
        <w:tabs>
          <w:tab w:val="right" w:pos="5030"/>
        </w:tabs>
        <w:rPr>
          <w:noProof/>
        </w:rPr>
      </w:pPr>
      <w:r>
        <w:rPr>
          <w:noProof/>
        </w:rPr>
        <w:t>Office 365 Pro Plus, 83</w:t>
      </w:r>
    </w:p>
    <w:p w:rsidR="00AC602F" w:rsidRDefault="00AC602F">
      <w:pPr>
        <w:pStyle w:val="Index1"/>
        <w:tabs>
          <w:tab w:val="right" w:pos="5030"/>
        </w:tabs>
        <w:rPr>
          <w:noProof/>
        </w:rPr>
      </w:pPr>
      <w:r>
        <w:rPr>
          <w:noProof/>
        </w:rPr>
        <w:t>Office 365 ProPlus, 62</w:t>
      </w:r>
    </w:p>
    <w:p w:rsidR="00AC602F" w:rsidRDefault="00AC602F">
      <w:pPr>
        <w:pStyle w:val="Index1"/>
        <w:tabs>
          <w:tab w:val="right" w:pos="5030"/>
        </w:tabs>
        <w:rPr>
          <w:noProof/>
        </w:rPr>
      </w:pPr>
      <w:r>
        <w:rPr>
          <w:noProof/>
        </w:rPr>
        <w:t>Office 365 ProPlus de SA Existente, 62</w:t>
      </w:r>
    </w:p>
    <w:p w:rsidR="00AC602F" w:rsidRDefault="00AC602F">
      <w:pPr>
        <w:pStyle w:val="Index1"/>
        <w:tabs>
          <w:tab w:val="right" w:pos="5030"/>
        </w:tabs>
        <w:rPr>
          <w:noProof/>
        </w:rPr>
      </w:pPr>
      <w:r>
        <w:rPr>
          <w:noProof/>
        </w:rPr>
        <w:t>Office for Mac 2011, 25</w:t>
      </w:r>
    </w:p>
    <w:p w:rsidR="00AC602F" w:rsidRDefault="00AC602F">
      <w:pPr>
        <w:pStyle w:val="Index1"/>
        <w:tabs>
          <w:tab w:val="right" w:pos="5030"/>
        </w:tabs>
        <w:rPr>
          <w:noProof/>
        </w:rPr>
      </w:pPr>
      <w:r>
        <w:rPr>
          <w:noProof/>
        </w:rPr>
        <w:t>Office for Mac Standard, 81</w:t>
      </w:r>
    </w:p>
    <w:p w:rsidR="00AC602F" w:rsidRDefault="00AC602F">
      <w:pPr>
        <w:pStyle w:val="Index1"/>
        <w:tabs>
          <w:tab w:val="right" w:pos="5030"/>
        </w:tabs>
        <w:rPr>
          <w:noProof/>
        </w:rPr>
      </w:pPr>
      <w:r>
        <w:rPr>
          <w:noProof/>
        </w:rPr>
        <w:t>Office Multi Language Pack, 63, 66</w:t>
      </w:r>
    </w:p>
    <w:p w:rsidR="00AC602F" w:rsidRDefault="00AC602F">
      <w:pPr>
        <w:pStyle w:val="Index1"/>
        <w:tabs>
          <w:tab w:val="right" w:pos="5030"/>
        </w:tabs>
        <w:rPr>
          <w:noProof/>
        </w:rPr>
      </w:pPr>
      <w:r>
        <w:rPr>
          <w:noProof/>
        </w:rPr>
        <w:t>Office Multi Language Pack 2013, 24</w:t>
      </w:r>
    </w:p>
    <w:p w:rsidR="00AC602F" w:rsidRDefault="00AC602F">
      <w:pPr>
        <w:pStyle w:val="Index1"/>
        <w:tabs>
          <w:tab w:val="right" w:pos="5030"/>
        </w:tabs>
        <w:rPr>
          <w:noProof/>
        </w:rPr>
      </w:pPr>
      <w:r>
        <w:rPr>
          <w:noProof/>
        </w:rPr>
        <w:t>Office Online, 63</w:t>
      </w:r>
    </w:p>
    <w:p w:rsidR="00AC602F" w:rsidRDefault="00AC602F">
      <w:pPr>
        <w:pStyle w:val="Index1"/>
        <w:tabs>
          <w:tab w:val="right" w:pos="5030"/>
        </w:tabs>
        <w:rPr>
          <w:noProof/>
        </w:rPr>
      </w:pPr>
      <w:r>
        <w:rPr>
          <w:noProof/>
        </w:rPr>
        <w:t>Office Online para Office 365, 81</w:t>
      </w:r>
    </w:p>
    <w:p w:rsidR="00AC602F" w:rsidRDefault="00AC602F">
      <w:pPr>
        <w:pStyle w:val="Index1"/>
        <w:tabs>
          <w:tab w:val="right" w:pos="5030"/>
        </w:tabs>
        <w:rPr>
          <w:noProof/>
        </w:rPr>
      </w:pPr>
      <w:r>
        <w:rPr>
          <w:noProof/>
        </w:rPr>
        <w:t>Office Professional Plus, 63, 65, 81, 88</w:t>
      </w:r>
    </w:p>
    <w:p w:rsidR="00AC602F" w:rsidRDefault="00AC602F">
      <w:pPr>
        <w:pStyle w:val="Index1"/>
        <w:tabs>
          <w:tab w:val="right" w:pos="5030"/>
        </w:tabs>
        <w:rPr>
          <w:noProof/>
        </w:rPr>
      </w:pPr>
      <w:r>
        <w:rPr>
          <w:noProof/>
        </w:rPr>
        <w:t>Office Professional Plus 2013, 63</w:t>
      </w:r>
    </w:p>
    <w:p w:rsidR="00AC602F" w:rsidRDefault="00AC602F">
      <w:pPr>
        <w:pStyle w:val="Index1"/>
        <w:tabs>
          <w:tab w:val="right" w:pos="5030"/>
        </w:tabs>
        <w:rPr>
          <w:noProof/>
        </w:rPr>
      </w:pPr>
      <w:r>
        <w:rPr>
          <w:noProof/>
        </w:rPr>
        <w:t>Office Professional Plus 2016, 24, 38, 64</w:t>
      </w:r>
    </w:p>
    <w:p w:rsidR="00AC602F" w:rsidRDefault="00AC602F">
      <w:pPr>
        <w:pStyle w:val="Index1"/>
        <w:tabs>
          <w:tab w:val="right" w:pos="5030"/>
        </w:tabs>
        <w:rPr>
          <w:noProof/>
        </w:rPr>
      </w:pPr>
      <w:r>
        <w:rPr>
          <w:noProof/>
        </w:rPr>
        <w:t>Office Standard, 63, 81, 88</w:t>
      </w:r>
    </w:p>
    <w:p w:rsidR="00AC602F" w:rsidRDefault="00AC602F">
      <w:pPr>
        <w:pStyle w:val="Index1"/>
        <w:tabs>
          <w:tab w:val="right" w:pos="5030"/>
        </w:tabs>
        <w:rPr>
          <w:noProof/>
        </w:rPr>
      </w:pPr>
      <w:r>
        <w:rPr>
          <w:noProof/>
        </w:rPr>
        <w:t>Office Standard 2016, 24</w:t>
      </w:r>
    </w:p>
    <w:p w:rsidR="00AC602F" w:rsidRDefault="00AC602F">
      <w:pPr>
        <w:pStyle w:val="Index1"/>
        <w:tabs>
          <w:tab w:val="right" w:pos="5030"/>
        </w:tabs>
        <w:rPr>
          <w:noProof/>
        </w:rPr>
      </w:pPr>
      <w:r>
        <w:rPr>
          <w:noProof/>
        </w:rPr>
        <w:t>OneDrive for Business Plan 1, 68</w:t>
      </w:r>
    </w:p>
    <w:p w:rsidR="00AC602F" w:rsidRDefault="00AC602F">
      <w:pPr>
        <w:pStyle w:val="Index1"/>
        <w:tabs>
          <w:tab w:val="right" w:pos="5030"/>
        </w:tabs>
        <w:rPr>
          <w:noProof/>
        </w:rPr>
      </w:pPr>
      <w:r>
        <w:rPr>
          <w:noProof/>
        </w:rPr>
        <w:t>OneDrive for Business Plan 2, 68</w:t>
      </w:r>
    </w:p>
    <w:p w:rsidR="00AC602F" w:rsidRDefault="00AC602F">
      <w:pPr>
        <w:pStyle w:val="Index1"/>
        <w:tabs>
          <w:tab w:val="right" w:pos="5030"/>
        </w:tabs>
        <w:rPr>
          <w:noProof/>
        </w:rPr>
      </w:pPr>
      <w:r>
        <w:rPr>
          <w:noProof/>
        </w:rPr>
        <w:t>Outlook 2016, 24</w:t>
      </w:r>
    </w:p>
    <w:p w:rsidR="00AC602F" w:rsidRDefault="00AC602F">
      <w:pPr>
        <w:pStyle w:val="Index1"/>
        <w:tabs>
          <w:tab w:val="right" w:pos="5030"/>
        </w:tabs>
        <w:rPr>
          <w:noProof/>
        </w:rPr>
      </w:pPr>
      <w:r>
        <w:rPr>
          <w:noProof/>
        </w:rPr>
        <w:t>Outlook 2016 para Mac, 25</w:t>
      </w:r>
    </w:p>
    <w:p w:rsidR="00AC602F" w:rsidRDefault="00AC602F">
      <w:pPr>
        <w:pStyle w:val="Index1"/>
        <w:tabs>
          <w:tab w:val="right" w:pos="5030"/>
        </w:tabs>
        <w:rPr>
          <w:noProof/>
        </w:rPr>
      </w:pPr>
      <w:r>
        <w:rPr>
          <w:noProof/>
        </w:rPr>
        <w:t>Parallel Data Warehouse, 87</w:t>
      </w:r>
    </w:p>
    <w:p w:rsidR="00AC602F" w:rsidRDefault="00AC602F">
      <w:pPr>
        <w:pStyle w:val="Index1"/>
        <w:tabs>
          <w:tab w:val="right" w:pos="5030"/>
        </w:tabs>
        <w:rPr>
          <w:noProof/>
        </w:rPr>
      </w:pPr>
      <w:r>
        <w:rPr>
          <w:noProof/>
        </w:rPr>
        <w:t>Parature Additional Departments, 62</w:t>
      </w:r>
    </w:p>
    <w:p w:rsidR="00AC602F" w:rsidRDefault="00AC602F">
      <w:pPr>
        <w:pStyle w:val="Index1"/>
        <w:tabs>
          <w:tab w:val="right" w:pos="5030"/>
        </w:tabs>
        <w:rPr>
          <w:noProof/>
        </w:rPr>
      </w:pPr>
      <w:r>
        <w:rPr>
          <w:noProof/>
        </w:rPr>
        <w:t>Parature Additional File Storage, 62</w:t>
      </w:r>
    </w:p>
    <w:p w:rsidR="00AC602F" w:rsidRDefault="00AC602F">
      <w:pPr>
        <w:pStyle w:val="Index1"/>
        <w:tabs>
          <w:tab w:val="right" w:pos="5030"/>
        </w:tabs>
        <w:rPr>
          <w:noProof/>
        </w:rPr>
      </w:pPr>
      <w:r>
        <w:rPr>
          <w:noProof/>
        </w:rPr>
        <w:t>Parature Additional Page Views, 62</w:t>
      </w:r>
    </w:p>
    <w:p w:rsidR="00AC602F" w:rsidRDefault="00AC602F">
      <w:pPr>
        <w:pStyle w:val="Index1"/>
        <w:tabs>
          <w:tab w:val="right" w:pos="5030"/>
        </w:tabs>
        <w:rPr>
          <w:noProof/>
        </w:rPr>
      </w:pPr>
      <w:r>
        <w:rPr>
          <w:noProof/>
        </w:rPr>
        <w:t>Parature Additional Records, 62</w:t>
      </w:r>
    </w:p>
    <w:p w:rsidR="00AC602F" w:rsidRDefault="00AC602F">
      <w:pPr>
        <w:pStyle w:val="Index1"/>
        <w:tabs>
          <w:tab w:val="right" w:pos="5030"/>
        </w:tabs>
        <w:rPr>
          <w:noProof/>
        </w:rPr>
      </w:pPr>
      <w:r>
        <w:rPr>
          <w:noProof/>
        </w:rPr>
        <w:t>Parature Enterprise, 62</w:t>
      </w:r>
    </w:p>
    <w:p w:rsidR="00AC602F" w:rsidRDefault="00AC602F">
      <w:pPr>
        <w:pStyle w:val="Index1"/>
        <w:tabs>
          <w:tab w:val="right" w:pos="5030"/>
        </w:tabs>
        <w:rPr>
          <w:noProof/>
        </w:rPr>
      </w:pPr>
      <w:r>
        <w:rPr>
          <w:noProof/>
        </w:rPr>
        <w:t>Plataformas MSDN, 37</w:t>
      </w:r>
    </w:p>
    <w:p w:rsidR="00AC602F" w:rsidRDefault="00AC602F">
      <w:pPr>
        <w:pStyle w:val="Index1"/>
        <w:tabs>
          <w:tab w:val="right" w:pos="5030"/>
        </w:tabs>
        <w:rPr>
          <w:noProof/>
        </w:rPr>
      </w:pPr>
      <w:r>
        <w:rPr>
          <w:noProof/>
        </w:rPr>
        <w:t>Power BI Pro, 71</w:t>
      </w:r>
    </w:p>
    <w:p w:rsidR="00AC602F" w:rsidRDefault="00AC602F">
      <w:pPr>
        <w:pStyle w:val="Index1"/>
        <w:tabs>
          <w:tab w:val="right" w:pos="5030"/>
        </w:tabs>
        <w:rPr>
          <w:noProof/>
        </w:rPr>
      </w:pPr>
      <w:r>
        <w:rPr>
          <w:noProof/>
        </w:rPr>
        <w:t>Power BI Pro A, 71</w:t>
      </w:r>
    </w:p>
    <w:p w:rsidR="00AC602F" w:rsidRDefault="00AC602F">
      <w:pPr>
        <w:pStyle w:val="Index1"/>
        <w:tabs>
          <w:tab w:val="right" w:pos="5030"/>
        </w:tabs>
        <w:rPr>
          <w:noProof/>
        </w:rPr>
      </w:pPr>
      <w:r>
        <w:rPr>
          <w:noProof/>
        </w:rPr>
        <w:t>PowerPoint 2016, 24</w:t>
      </w:r>
    </w:p>
    <w:p w:rsidR="00AC602F" w:rsidRDefault="00AC602F">
      <w:pPr>
        <w:pStyle w:val="Index1"/>
        <w:tabs>
          <w:tab w:val="right" w:pos="5030"/>
        </w:tabs>
        <w:rPr>
          <w:noProof/>
        </w:rPr>
      </w:pPr>
      <w:r>
        <w:rPr>
          <w:noProof/>
        </w:rPr>
        <w:t>PowerPoint 2016 para Mac, 25</w:t>
      </w:r>
    </w:p>
    <w:p w:rsidR="00AC602F" w:rsidRDefault="00AC602F">
      <w:pPr>
        <w:pStyle w:val="Index1"/>
        <w:tabs>
          <w:tab w:val="right" w:pos="5030"/>
        </w:tabs>
        <w:rPr>
          <w:noProof/>
        </w:rPr>
      </w:pPr>
      <w:r>
        <w:rPr>
          <w:noProof/>
        </w:rPr>
        <w:t>Prestação de Serviços do Microsoft Dynamics CRM Online (SL de Utilizador), 60</w:t>
      </w:r>
    </w:p>
    <w:p w:rsidR="00AC602F" w:rsidRDefault="00AC602F">
      <w:pPr>
        <w:pStyle w:val="Index1"/>
        <w:tabs>
          <w:tab w:val="right" w:pos="5030"/>
        </w:tabs>
        <w:rPr>
          <w:noProof/>
        </w:rPr>
      </w:pPr>
      <w:r>
        <w:rPr>
          <w:noProof/>
        </w:rPr>
        <w:t>Project 2013, 27</w:t>
      </w:r>
    </w:p>
    <w:p w:rsidR="00AC602F" w:rsidRDefault="00AC602F">
      <w:pPr>
        <w:pStyle w:val="Index1"/>
        <w:tabs>
          <w:tab w:val="right" w:pos="5030"/>
        </w:tabs>
        <w:rPr>
          <w:noProof/>
        </w:rPr>
      </w:pPr>
      <w:r>
        <w:rPr>
          <w:noProof/>
        </w:rPr>
        <w:t>Project Lite, 28, 68</w:t>
      </w:r>
    </w:p>
    <w:p w:rsidR="00AC602F" w:rsidRDefault="00AC602F">
      <w:pPr>
        <w:pStyle w:val="Index1"/>
        <w:tabs>
          <w:tab w:val="right" w:pos="5030"/>
        </w:tabs>
        <w:rPr>
          <w:noProof/>
        </w:rPr>
      </w:pPr>
      <w:r>
        <w:rPr>
          <w:noProof/>
        </w:rPr>
        <w:t>Project Online, 28, 68</w:t>
      </w:r>
    </w:p>
    <w:p w:rsidR="00AC602F" w:rsidRDefault="00AC602F">
      <w:pPr>
        <w:pStyle w:val="Index1"/>
        <w:tabs>
          <w:tab w:val="right" w:pos="5030"/>
        </w:tabs>
        <w:rPr>
          <w:noProof/>
        </w:rPr>
      </w:pPr>
      <w:r>
        <w:rPr>
          <w:noProof/>
        </w:rPr>
        <w:t>Project Online com Project Pro para Office 365 de SA Existente, 62</w:t>
      </w:r>
    </w:p>
    <w:p w:rsidR="00AC602F" w:rsidRDefault="00AC602F">
      <w:pPr>
        <w:pStyle w:val="Index1"/>
        <w:tabs>
          <w:tab w:val="right" w:pos="5030"/>
        </w:tabs>
        <w:rPr>
          <w:noProof/>
        </w:rPr>
      </w:pPr>
      <w:r>
        <w:rPr>
          <w:noProof/>
        </w:rPr>
        <w:t>Project Online with Project Pro para Office 365, 62</w:t>
      </w:r>
    </w:p>
    <w:p w:rsidR="00AC602F" w:rsidRDefault="00AC602F">
      <w:pPr>
        <w:pStyle w:val="Index1"/>
        <w:tabs>
          <w:tab w:val="right" w:pos="5030"/>
        </w:tabs>
        <w:rPr>
          <w:noProof/>
        </w:rPr>
      </w:pPr>
      <w:r>
        <w:rPr>
          <w:noProof/>
        </w:rPr>
        <w:t>Project Pro para Office 365, 28, 62</w:t>
      </w:r>
    </w:p>
    <w:p w:rsidR="00AC602F" w:rsidRDefault="00AC602F">
      <w:pPr>
        <w:pStyle w:val="Index1"/>
        <w:tabs>
          <w:tab w:val="right" w:pos="5030"/>
        </w:tabs>
        <w:rPr>
          <w:noProof/>
        </w:rPr>
      </w:pPr>
      <w:r>
        <w:rPr>
          <w:noProof/>
        </w:rPr>
        <w:t>Project Pro para Office 365 de SA Existente, 62</w:t>
      </w:r>
    </w:p>
    <w:p w:rsidR="00AC602F" w:rsidRDefault="00AC602F">
      <w:pPr>
        <w:pStyle w:val="Index1"/>
        <w:tabs>
          <w:tab w:val="right" w:pos="5030"/>
        </w:tabs>
        <w:rPr>
          <w:noProof/>
        </w:rPr>
      </w:pPr>
      <w:r>
        <w:rPr>
          <w:noProof/>
        </w:rPr>
        <w:t>Project Professional, 63, 88</w:t>
      </w:r>
    </w:p>
    <w:p w:rsidR="00AC602F" w:rsidRDefault="00AC602F">
      <w:pPr>
        <w:pStyle w:val="Index1"/>
        <w:tabs>
          <w:tab w:val="right" w:pos="5030"/>
        </w:tabs>
        <w:rPr>
          <w:noProof/>
        </w:rPr>
      </w:pPr>
      <w:r>
        <w:rPr>
          <w:noProof/>
        </w:rPr>
        <w:t>Project Professional 2016, 24</w:t>
      </w:r>
    </w:p>
    <w:p w:rsidR="00AC602F" w:rsidRDefault="00AC602F">
      <w:pPr>
        <w:pStyle w:val="Index1"/>
        <w:tabs>
          <w:tab w:val="right" w:pos="5030"/>
        </w:tabs>
        <w:rPr>
          <w:noProof/>
        </w:rPr>
      </w:pPr>
      <w:r>
        <w:rPr>
          <w:noProof/>
        </w:rPr>
        <w:t>Project Server 2016, 24, 27</w:t>
      </w:r>
    </w:p>
    <w:p w:rsidR="00AC602F" w:rsidRDefault="00AC602F">
      <w:pPr>
        <w:pStyle w:val="Index1"/>
        <w:tabs>
          <w:tab w:val="right" w:pos="5030"/>
        </w:tabs>
        <w:rPr>
          <w:noProof/>
        </w:rPr>
      </w:pPr>
      <w:r>
        <w:rPr>
          <w:noProof/>
        </w:rPr>
        <w:t>Project Server 2016 CAL, 27</w:t>
      </w:r>
    </w:p>
    <w:p w:rsidR="00AC602F" w:rsidRDefault="00AC602F">
      <w:pPr>
        <w:pStyle w:val="Index1"/>
        <w:tabs>
          <w:tab w:val="right" w:pos="5030"/>
        </w:tabs>
        <w:rPr>
          <w:noProof/>
        </w:rPr>
      </w:pPr>
      <w:r>
        <w:rPr>
          <w:noProof/>
        </w:rPr>
        <w:t>Project Standard, 82, 88</w:t>
      </w:r>
    </w:p>
    <w:p w:rsidR="00AC602F" w:rsidRDefault="00AC602F">
      <w:pPr>
        <w:pStyle w:val="Index1"/>
        <w:tabs>
          <w:tab w:val="right" w:pos="5030"/>
        </w:tabs>
        <w:rPr>
          <w:noProof/>
        </w:rPr>
      </w:pPr>
      <w:r>
        <w:rPr>
          <w:noProof/>
        </w:rPr>
        <w:t>Project Standard 2016, 24</w:t>
      </w:r>
    </w:p>
    <w:p w:rsidR="00AC602F" w:rsidRDefault="00AC602F">
      <w:pPr>
        <w:pStyle w:val="Index1"/>
        <w:tabs>
          <w:tab w:val="right" w:pos="5030"/>
        </w:tabs>
        <w:rPr>
          <w:noProof/>
        </w:rPr>
      </w:pPr>
      <w:r>
        <w:rPr>
          <w:noProof/>
        </w:rPr>
        <w:t>Proteção Avançada contra Ameaças, 67</w:t>
      </w:r>
    </w:p>
    <w:p w:rsidR="00AC602F" w:rsidRDefault="00AC602F">
      <w:pPr>
        <w:pStyle w:val="Index1"/>
        <w:tabs>
          <w:tab w:val="right" w:pos="5030"/>
        </w:tabs>
        <w:rPr>
          <w:noProof/>
        </w:rPr>
      </w:pPr>
      <w:r>
        <w:rPr>
          <w:noProof/>
        </w:rPr>
        <w:t>Proteção do Exchange Online, 16, 67</w:t>
      </w:r>
    </w:p>
    <w:p w:rsidR="00AC602F" w:rsidRDefault="00AC602F">
      <w:pPr>
        <w:pStyle w:val="Index1"/>
        <w:tabs>
          <w:tab w:val="right" w:pos="5030"/>
        </w:tabs>
        <w:rPr>
          <w:noProof/>
        </w:rPr>
      </w:pPr>
      <w:r>
        <w:rPr>
          <w:noProof/>
        </w:rPr>
        <w:t>Publisher 2016, 24</w:t>
      </w:r>
    </w:p>
    <w:p w:rsidR="00AC602F" w:rsidRDefault="00AC602F">
      <w:pPr>
        <w:pStyle w:val="Index1"/>
        <w:tabs>
          <w:tab w:val="right" w:pos="5030"/>
        </w:tabs>
        <w:rPr>
          <w:noProof/>
        </w:rPr>
      </w:pPr>
      <w:r>
        <w:rPr>
          <w:noProof/>
        </w:rPr>
        <w:t>R Server 2016 para Hadoop em Red Hat, 30</w:t>
      </w:r>
    </w:p>
    <w:p w:rsidR="00AC602F" w:rsidRDefault="00AC602F">
      <w:pPr>
        <w:pStyle w:val="Index1"/>
        <w:tabs>
          <w:tab w:val="right" w:pos="5030"/>
        </w:tabs>
        <w:rPr>
          <w:noProof/>
        </w:rPr>
      </w:pPr>
      <w:r>
        <w:rPr>
          <w:noProof/>
        </w:rPr>
        <w:t>R Server 2016 para Red Hat Linux, 30</w:t>
      </w:r>
    </w:p>
    <w:p w:rsidR="00AC602F" w:rsidRDefault="00AC602F">
      <w:pPr>
        <w:pStyle w:val="Index1"/>
        <w:tabs>
          <w:tab w:val="right" w:pos="5030"/>
        </w:tabs>
        <w:rPr>
          <w:noProof/>
        </w:rPr>
      </w:pPr>
      <w:r>
        <w:rPr>
          <w:noProof/>
        </w:rPr>
        <w:t>R Server 2016 para SUSE Linux, 30</w:t>
      </w:r>
    </w:p>
    <w:p w:rsidR="00AC602F" w:rsidRDefault="00AC602F">
      <w:pPr>
        <w:pStyle w:val="Index1"/>
        <w:tabs>
          <w:tab w:val="right" w:pos="5030"/>
        </w:tabs>
        <w:rPr>
          <w:noProof/>
        </w:rPr>
      </w:pPr>
      <w:r>
        <w:rPr>
          <w:noProof/>
        </w:rPr>
        <w:t>R Server 2016 para Teradata DB, 30</w:t>
      </w:r>
    </w:p>
    <w:p w:rsidR="00AC602F" w:rsidRDefault="00AC602F">
      <w:pPr>
        <w:pStyle w:val="Index1"/>
        <w:tabs>
          <w:tab w:val="right" w:pos="5030"/>
        </w:tabs>
        <w:rPr>
          <w:noProof/>
        </w:rPr>
      </w:pPr>
      <w:r>
        <w:rPr>
          <w:noProof/>
        </w:rPr>
        <w:t>SA do Windows por Utilizador, 58</w:t>
      </w:r>
    </w:p>
    <w:p w:rsidR="00AC602F" w:rsidRDefault="00AC602F">
      <w:pPr>
        <w:pStyle w:val="Index1"/>
        <w:tabs>
          <w:tab w:val="right" w:pos="5030"/>
        </w:tabs>
        <w:rPr>
          <w:noProof/>
        </w:rPr>
      </w:pPr>
      <w:r>
        <w:rPr>
          <w:noProof/>
        </w:rPr>
        <w:t>Serviço de Importação para Office 365, 67</w:t>
      </w:r>
    </w:p>
    <w:p w:rsidR="00AC602F" w:rsidRDefault="00AC602F">
      <w:pPr>
        <w:pStyle w:val="Index1"/>
        <w:tabs>
          <w:tab w:val="right" w:pos="5030"/>
        </w:tabs>
        <w:rPr>
          <w:noProof/>
        </w:rPr>
      </w:pPr>
      <w:r>
        <w:rPr>
          <w:noProof/>
        </w:rPr>
        <w:t>Serviços da Plataforma Microsoft Azure, 89</w:t>
      </w:r>
    </w:p>
    <w:p w:rsidR="00AC602F" w:rsidRDefault="00AC602F">
      <w:pPr>
        <w:pStyle w:val="Index1"/>
        <w:tabs>
          <w:tab w:val="right" w:pos="5030"/>
        </w:tabs>
        <w:rPr>
          <w:noProof/>
        </w:rPr>
      </w:pPr>
      <w:r>
        <w:rPr>
          <w:noProof/>
        </w:rPr>
        <w:t>Serviços do Microsoft Azure, 53, 88</w:t>
      </w:r>
    </w:p>
    <w:p w:rsidR="00AC602F" w:rsidRDefault="00AC602F">
      <w:pPr>
        <w:pStyle w:val="Index1"/>
        <w:tabs>
          <w:tab w:val="right" w:pos="5030"/>
        </w:tabs>
        <w:rPr>
          <w:noProof/>
        </w:rPr>
      </w:pPr>
      <w:r>
        <w:rPr>
          <w:noProof/>
        </w:rPr>
        <w:t>SharePoint Online, 81</w:t>
      </w:r>
    </w:p>
    <w:p w:rsidR="00AC602F" w:rsidRDefault="00AC602F">
      <w:pPr>
        <w:pStyle w:val="Index1"/>
        <w:tabs>
          <w:tab w:val="right" w:pos="5030"/>
        </w:tabs>
        <w:rPr>
          <w:noProof/>
        </w:rPr>
      </w:pPr>
      <w:r>
        <w:rPr>
          <w:noProof/>
        </w:rPr>
        <w:t>SharePoint Online Plan 1, 69</w:t>
      </w:r>
    </w:p>
    <w:p w:rsidR="00AC602F" w:rsidRDefault="00AC602F">
      <w:pPr>
        <w:pStyle w:val="Index1"/>
        <w:tabs>
          <w:tab w:val="right" w:pos="5030"/>
        </w:tabs>
        <w:rPr>
          <w:noProof/>
        </w:rPr>
      </w:pPr>
      <w:r>
        <w:rPr>
          <w:noProof/>
        </w:rPr>
        <w:t>SharePoint Online Plan 1 ou 2, 28</w:t>
      </w:r>
    </w:p>
    <w:p w:rsidR="00AC602F" w:rsidRDefault="00AC602F">
      <w:pPr>
        <w:pStyle w:val="Index1"/>
        <w:tabs>
          <w:tab w:val="right" w:pos="5030"/>
        </w:tabs>
        <w:rPr>
          <w:noProof/>
        </w:rPr>
      </w:pPr>
      <w:r>
        <w:rPr>
          <w:noProof/>
        </w:rPr>
        <w:t>SharePoint Online Plan 2, 28, 69</w:t>
      </w:r>
    </w:p>
    <w:p w:rsidR="00AC602F" w:rsidRDefault="00AC602F">
      <w:pPr>
        <w:pStyle w:val="Index1"/>
        <w:tabs>
          <w:tab w:val="right" w:pos="5030"/>
        </w:tabs>
        <w:rPr>
          <w:noProof/>
        </w:rPr>
      </w:pPr>
      <w:r>
        <w:rPr>
          <w:noProof/>
        </w:rPr>
        <w:t>SharePoint Server, 86</w:t>
      </w:r>
    </w:p>
    <w:p w:rsidR="00AC602F" w:rsidRDefault="00AC602F">
      <w:pPr>
        <w:pStyle w:val="Index1"/>
        <w:tabs>
          <w:tab w:val="right" w:pos="5030"/>
        </w:tabs>
        <w:rPr>
          <w:noProof/>
        </w:rPr>
      </w:pPr>
      <w:r>
        <w:rPr>
          <w:noProof/>
        </w:rPr>
        <w:t>SharePoint Server 2013, 28</w:t>
      </w:r>
    </w:p>
    <w:p w:rsidR="00AC602F" w:rsidRDefault="00AC602F">
      <w:pPr>
        <w:pStyle w:val="Index1"/>
        <w:tabs>
          <w:tab w:val="right" w:pos="5030"/>
        </w:tabs>
        <w:rPr>
          <w:noProof/>
        </w:rPr>
      </w:pPr>
      <w:r>
        <w:rPr>
          <w:noProof/>
        </w:rPr>
        <w:t>SharePoint Server 2016, 28</w:t>
      </w:r>
    </w:p>
    <w:p w:rsidR="00AC602F" w:rsidRDefault="00AC602F">
      <w:pPr>
        <w:pStyle w:val="Index1"/>
        <w:tabs>
          <w:tab w:val="right" w:pos="5030"/>
        </w:tabs>
        <w:rPr>
          <w:noProof/>
        </w:rPr>
      </w:pPr>
      <w:r>
        <w:rPr>
          <w:noProof/>
        </w:rPr>
        <w:t>SharePoint Server 2016 Enterprise CAL, 28</w:t>
      </w:r>
    </w:p>
    <w:p w:rsidR="00AC602F" w:rsidRDefault="00AC602F">
      <w:pPr>
        <w:pStyle w:val="Index1"/>
        <w:tabs>
          <w:tab w:val="right" w:pos="5030"/>
        </w:tabs>
        <w:rPr>
          <w:noProof/>
        </w:rPr>
      </w:pPr>
      <w:r>
        <w:rPr>
          <w:noProof/>
        </w:rPr>
        <w:t>SharePoint Server 2016 Standard CAL, 28</w:t>
      </w:r>
    </w:p>
    <w:p w:rsidR="00AC602F" w:rsidRDefault="00AC602F">
      <w:pPr>
        <w:pStyle w:val="Index1"/>
        <w:tabs>
          <w:tab w:val="right" w:pos="5030"/>
        </w:tabs>
        <w:rPr>
          <w:noProof/>
        </w:rPr>
      </w:pPr>
      <w:r>
        <w:rPr>
          <w:noProof/>
        </w:rPr>
        <w:t>Skype para Business 2016, 24</w:t>
      </w:r>
    </w:p>
    <w:p w:rsidR="00AC602F" w:rsidRDefault="00AC602F">
      <w:pPr>
        <w:pStyle w:val="Index1"/>
        <w:tabs>
          <w:tab w:val="right" w:pos="5030"/>
        </w:tabs>
        <w:rPr>
          <w:noProof/>
        </w:rPr>
      </w:pPr>
      <w:r>
        <w:rPr>
          <w:noProof/>
        </w:rPr>
        <w:t>Skype para Business Server 2015, 29</w:t>
      </w:r>
    </w:p>
    <w:p w:rsidR="00AC602F" w:rsidRDefault="00AC602F">
      <w:pPr>
        <w:pStyle w:val="Index1"/>
        <w:tabs>
          <w:tab w:val="right" w:pos="5030"/>
        </w:tabs>
        <w:rPr>
          <w:noProof/>
        </w:rPr>
      </w:pPr>
      <w:r>
        <w:rPr>
          <w:noProof/>
        </w:rPr>
        <w:t>Skype para Empresa Server 2015 Plus CAL, 29</w:t>
      </w:r>
    </w:p>
    <w:p w:rsidR="00AC602F" w:rsidRDefault="00AC602F">
      <w:pPr>
        <w:pStyle w:val="Index1"/>
        <w:tabs>
          <w:tab w:val="right" w:pos="5030"/>
        </w:tabs>
        <w:rPr>
          <w:noProof/>
        </w:rPr>
      </w:pPr>
      <w:r>
        <w:rPr>
          <w:noProof/>
        </w:rPr>
        <w:t>Skype para Empresas Online Cloud PBX, 69</w:t>
      </w:r>
    </w:p>
    <w:p w:rsidR="00AC602F" w:rsidRDefault="00AC602F">
      <w:pPr>
        <w:pStyle w:val="Index1"/>
        <w:tabs>
          <w:tab w:val="right" w:pos="5030"/>
        </w:tabs>
        <w:rPr>
          <w:noProof/>
        </w:rPr>
      </w:pPr>
      <w:r>
        <w:rPr>
          <w:noProof/>
        </w:rPr>
        <w:t>Skype para Empresas Online Plan 1, 29, 69</w:t>
      </w:r>
    </w:p>
    <w:p w:rsidR="00AC602F" w:rsidRDefault="00AC602F">
      <w:pPr>
        <w:pStyle w:val="Index1"/>
        <w:tabs>
          <w:tab w:val="right" w:pos="5030"/>
        </w:tabs>
        <w:rPr>
          <w:noProof/>
        </w:rPr>
      </w:pPr>
      <w:r>
        <w:rPr>
          <w:noProof/>
        </w:rPr>
        <w:t>Skype para Empresas Online Plan 2, 29, 69</w:t>
      </w:r>
    </w:p>
    <w:p w:rsidR="00AC602F" w:rsidRDefault="00AC602F">
      <w:pPr>
        <w:pStyle w:val="Index1"/>
        <w:tabs>
          <w:tab w:val="right" w:pos="5030"/>
        </w:tabs>
        <w:rPr>
          <w:noProof/>
        </w:rPr>
      </w:pPr>
      <w:r>
        <w:rPr>
          <w:noProof/>
        </w:rPr>
        <w:t>Skype para Empresas Online PSTN Calling, 69</w:t>
      </w:r>
    </w:p>
    <w:p w:rsidR="00AC602F" w:rsidRDefault="00AC602F">
      <w:pPr>
        <w:pStyle w:val="Index1"/>
        <w:tabs>
          <w:tab w:val="right" w:pos="5030"/>
        </w:tabs>
        <w:rPr>
          <w:noProof/>
        </w:rPr>
      </w:pPr>
      <w:r>
        <w:rPr>
          <w:noProof/>
        </w:rPr>
        <w:t>Skype para Empresas Online PSTN Conferencing, 69</w:t>
      </w:r>
    </w:p>
    <w:p w:rsidR="00AC602F" w:rsidRDefault="00AC602F">
      <w:pPr>
        <w:pStyle w:val="Index1"/>
        <w:tabs>
          <w:tab w:val="right" w:pos="5030"/>
        </w:tabs>
        <w:rPr>
          <w:noProof/>
        </w:rPr>
      </w:pPr>
      <w:r>
        <w:rPr>
          <w:noProof/>
        </w:rPr>
        <w:t>Skype para Empresas Plus CAL, 69</w:t>
      </w:r>
    </w:p>
    <w:p w:rsidR="00AC602F" w:rsidRDefault="00AC602F">
      <w:pPr>
        <w:pStyle w:val="Index1"/>
        <w:tabs>
          <w:tab w:val="right" w:pos="5030"/>
        </w:tabs>
        <w:rPr>
          <w:noProof/>
        </w:rPr>
      </w:pPr>
      <w:r>
        <w:rPr>
          <w:noProof/>
        </w:rPr>
        <w:t>Skype para Empresas Server 2015 Enterprise CAL, 29</w:t>
      </w:r>
    </w:p>
    <w:p w:rsidR="00AC602F" w:rsidRDefault="00AC602F">
      <w:pPr>
        <w:pStyle w:val="Index1"/>
        <w:tabs>
          <w:tab w:val="right" w:pos="5030"/>
        </w:tabs>
        <w:rPr>
          <w:noProof/>
        </w:rPr>
      </w:pPr>
      <w:r>
        <w:rPr>
          <w:noProof/>
        </w:rPr>
        <w:t>Skype para Empresas Server 2015 Standard CAL, 29</w:t>
      </w:r>
    </w:p>
    <w:p w:rsidR="00AC602F" w:rsidRDefault="00AC602F">
      <w:pPr>
        <w:pStyle w:val="Index1"/>
        <w:tabs>
          <w:tab w:val="right" w:pos="5030"/>
        </w:tabs>
        <w:rPr>
          <w:noProof/>
        </w:rPr>
      </w:pPr>
      <w:r>
        <w:rPr>
          <w:noProof/>
        </w:rPr>
        <w:t>SQL Parallel Data Warehouse, 82, 88</w:t>
      </w:r>
    </w:p>
    <w:p w:rsidR="00AC602F" w:rsidRDefault="00AC602F">
      <w:pPr>
        <w:pStyle w:val="Index1"/>
        <w:tabs>
          <w:tab w:val="right" w:pos="5030"/>
        </w:tabs>
        <w:rPr>
          <w:noProof/>
        </w:rPr>
      </w:pPr>
      <w:r>
        <w:rPr>
          <w:noProof/>
        </w:rPr>
        <w:t>SQL Server, 86, 88</w:t>
      </w:r>
    </w:p>
    <w:p w:rsidR="00AC602F" w:rsidRDefault="00AC602F">
      <w:pPr>
        <w:pStyle w:val="Index1"/>
        <w:tabs>
          <w:tab w:val="right" w:pos="5030"/>
        </w:tabs>
        <w:rPr>
          <w:noProof/>
        </w:rPr>
      </w:pPr>
      <w:r>
        <w:rPr>
          <w:noProof/>
        </w:rPr>
        <w:t>SQL Server 2014, 31</w:t>
      </w:r>
    </w:p>
    <w:p w:rsidR="00AC602F" w:rsidRDefault="00AC602F">
      <w:pPr>
        <w:pStyle w:val="Index1"/>
        <w:tabs>
          <w:tab w:val="right" w:pos="5030"/>
        </w:tabs>
        <w:rPr>
          <w:noProof/>
        </w:rPr>
      </w:pPr>
      <w:r>
        <w:rPr>
          <w:noProof/>
        </w:rPr>
        <w:t>SQL Server 2016 Enterprise, 31</w:t>
      </w:r>
    </w:p>
    <w:p w:rsidR="00AC602F" w:rsidRDefault="00AC602F">
      <w:pPr>
        <w:pStyle w:val="Index1"/>
        <w:tabs>
          <w:tab w:val="right" w:pos="5030"/>
        </w:tabs>
        <w:rPr>
          <w:noProof/>
        </w:rPr>
      </w:pPr>
      <w:r>
        <w:rPr>
          <w:noProof/>
        </w:rPr>
        <w:t>SQL Server 2016 Enterprise Core, 31</w:t>
      </w:r>
    </w:p>
    <w:p w:rsidR="00AC602F" w:rsidRDefault="00AC602F">
      <w:pPr>
        <w:pStyle w:val="Index1"/>
        <w:tabs>
          <w:tab w:val="right" w:pos="5030"/>
        </w:tabs>
        <w:rPr>
          <w:noProof/>
        </w:rPr>
      </w:pPr>
      <w:r>
        <w:rPr>
          <w:noProof/>
        </w:rPr>
        <w:t>SQL Server 2016 Standard, 31</w:t>
      </w:r>
    </w:p>
    <w:p w:rsidR="00AC602F" w:rsidRDefault="00AC602F">
      <w:pPr>
        <w:pStyle w:val="Index1"/>
        <w:tabs>
          <w:tab w:val="right" w:pos="5030"/>
        </w:tabs>
        <w:rPr>
          <w:noProof/>
        </w:rPr>
      </w:pPr>
      <w:r>
        <w:rPr>
          <w:noProof/>
        </w:rPr>
        <w:t>SQL Server 2016 Standard Core, 31</w:t>
      </w:r>
    </w:p>
    <w:p w:rsidR="00AC602F" w:rsidRDefault="00AC602F">
      <w:pPr>
        <w:pStyle w:val="Index1"/>
        <w:tabs>
          <w:tab w:val="right" w:pos="5030"/>
        </w:tabs>
        <w:rPr>
          <w:noProof/>
        </w:rPr>
      </w:pPr>
      <w:r>
        <w:rPr>
          <w:noProof/>
        </w:rPr>
        <w:t>SQL Server Business Intelligence, 82, 88</w:t>
      </w:r>
    </w:p>
    <w:p w:rsidR="00AC602F" w:rsidRDefault="00AC602F">
      <w:pPr>
        <w:pStyle w:val="Index1"/>
        <w:tabs>
          <w:tab w:val="right" w:pos="5030"/>
        </w:tabs>
        <w:rPr>
          <w:noProof/>
        </w:rPr>
      </w:pPr>
      <w:r>
        <w:rPr>
          <w:noProof/>
        </w:rPr>
        <w:t>SQL Server Data Center, 82</w:t>
      </w:r>
    </w:p>
    <w:p w:rsidR="00AC602F" w:rsidRDefault="00AC602F">
      <w:pPr>
        <w:pStyle w:val="Index1"/>
        <w:tabs>
          <w:tab w:val="right" w:pos="5030"/>
        </w:tabs>
        <w:rPr>
          <w:noProof/>
        </w:rPr>
      </w:pPr>
      <w:r>
        <w:rPr>
          <w:noProof/>
        </w:rPr>
        <w:t>SQL Server Enterprise, 82, 88</w:t>
      </w:r>
    </w:p>
    <w:p w:rsidR="00AC602F" w:rsidRDefault="00AC602F">
      <w:pPr>
        <w:pStyle w:val="Index1"/>
        <w:tabs>
          <w:tab w:val="right" w:pos="5030"/>
        </w:tabs>
        <w:rPr>
          <w:noProof/>
        </w:rPr>
      </w:pPr>
      <w:r>
        <w:rPr>
          <w:noProof/>
        </w:rPr>
        <w:t>SQL Server Standard, 82, 88</w:t>
      </w:r>
    </w:p>
    <w:p w:rsidR="00AC602F" w:rsidRDefault="00AC602F">
      <w:pPr>
        <w:pStyle w:val="Index1"/>
        <w:tabs>
          <w:tab w:val="right" w:pos="5030"/>
        </w:tabs>
        <w:rPr>
          <w:noProof/>
        </w:rPr>
      </w:pPr>
      <w:r>
        <w:rPr>
          <w:noProof/>
        </w:rPr>
        <w:t>Subscrição Complementar do Windows, 43</w:t>
      </w:r>
    </w:p>
    <w:p w:rsidR="00AC602F" w:rsidRDefault="00AC602F">
      <w:pPr>
        <w:pStyle w:val="Index1"/>
        <w:tabs>
          <w:tab w:val="right" w:pos="5030"/>
        </w:tabs>
        <w:rPr>
          <w:noProof/>
        </w:rPr>
      </w:pPr>
      <w:r>
        <w:rPr>
          <w:noProof/>
        </w:rPr>
        <w:t>Subscrição Mensal Bing Maps Asset Management for Windows Platform Fee, 70</w:t>
      </w:r>
    </w:p>
    <w:p w:rsidR="00AC602F" w:rsidRDefault="00AC602F">
      <w:pPr>
        <w:pStyle w:val="Index1"/>
        <w:tabs>
          <w:tab w:val="right" w:pos="5030"/>
        </w:tabs>
        <w:rPr>
          <w:noProof/>
        </w:rPr>
      </w:pPr>
      <w:r>
        <w:rPr>
          <w:noProof/>
        </w:rPr>
        <w:t>Subscrição Mensal Bing Maps Enterprise Fee, 70</w:t>
      </w:r>
    </w:p>
    <w:p w:rsidR="00AC602F" w:rsidRDefault="00AC602F">
      <w:pPr>
        <w:pStyle w:val="Index1"/>
        <w:tabs>
          <w:tab w:val="right" w:pos="5030"/>
        </w:tabs>
        <w:rPr>
          <w:noProof/>
        </w:rPr>
      </w:pPr>
      <w:r>
        <w:rPr>
          <w:noProof/>
        </w:rPr>
        <w:t>Subscrição Mensal Bing Maps Internal Website Usage 100K Transactions, 70</w:t>
      </w:r>
    </w:p>
    <w:p w:rsidR="00AC602F" w:rsidRDefault="00AC602F">
      <w:pPr>
        <w:pStyle w:val="Index1"/>
        <w:tabs>
          <w:tab w:val="right" w:pos="5030"/>
        </w:tabs>
        <w:rPr>
          <w:noProof/>
        </w:rPr>
      </w:pPr>
      <w:r>
        <w:rPr>
          <w:noProof/>
        </w:rPr>
        <w:t>Subscrição Mensal Bing Maps Internal Website Usage 500K Transactions (e mais), 70</w:t>
      </w:r>
    </w:p>
    <w:p w:rsidR="00AC602F" w:rsidRDefault="00AC602F">
      <w:pPr>
        <w:pStyle w:val="Index1"/>
        <w:tabs>
          <w:tab w:val="right" w:pos="5030"/>
        </w:tabs>
        <w:rPr>
          <w:noProof/>
        </w:rPr>
      </w:pPr>
      <w:r>
        <w:rPr>
          <w:noProof/>
        </w:rPr>
        <w:t>Subscrição Mensal Bing Maps Known 5K User, 70</w:t>
      </w:r>
    </w:p>
    <w:p w:rsidR="00AC602F" w:rsidRDefault="00AC602F">
      <w:pPr>
        <w:pStyle w:val="Index1"/>
        <w:tabs>
          <w:tab w:val="right" w:pos="5030"/>
        </w:tabs>
        <w:rPr>
          <w:noProof/>
        </w:rPr>
      </w:pPr>
      <w:r>
        <w:rPr>
          <w:noProof/>
        </w:rPr>
        <w:t>Subscrição Mensal Bing Maps Known Per User, 70</w:t>
      </w:r>
    </w:p>
    <w:p w:rsidR="00AC602F" w:rsidRDefault="00AC602F">
      <w:pPr>
        <w:pStyle w:val="Index1"/>
        <w:tabs>
          <w:tab w:val="right" w:pos="5030"/>
        </w:tabs>
        <w:rPr>
          <w:noProof/>
        </w:rPr>
      </w:pPr>
      <w:r>
        <w:rPr>
          <w:noProof/>
        </w:rPr>
        <w:t>Subscrição Mensal Bing Maps Light Known 500 User, 70</w:t>
      </w:r>
    </w:p>
    <w:p w:rsidR="00AC602F" w:rsidRDefault="00AC602F">
      <w:pPr>
        <w:pStyle w:val="Index1"/>
        <w:tabs>
          <w:tab w:val="right" w:pos="5030"/>
        </w:tabs>
        <w:rPr>
          <w:noProof/>
        </w:rPr>
      </w:pPr>
      <w:r>
        <w:rPr>
          <w:noProof/>
        </w:rPr>
        <w:t>Subscrição Mensal Bing Maps Light Known 5K User, 70</w:t>
      </w:r>
    </w:p>
    <w:p w:rsidR="00AC602F" w:rsidRDefault="00AC602F">
      <w:pPr>
        <w:pStyle w:val="Index1"/>
        <w:tabs>
          <w:tab w:val="right" w:pos="5030"/>
        </w:tabs>
        <w:rPr>
          <w:noProof/>
        </w:rPr>
      </w:pPr>
      <w:r>
        <w:rPr>
          <w:noProof/>
        </w:rPr>
        <w:t>Subscrição Mensal Bing Maps Public Website Usage 100K Transaction, 70</w:t>
      </w:r>
    </w:p>
    <w:p w:rsidR="00AC602F" w:rsidRDefault="00AC602F">
      <w:pPr>
        <w:pStyle w:val="Index1"/>
        <w:tabs>
          <w:tab w:val="right" w:pos="5030"/>
        </w:tabs>
        <w:rPr>
          <w:noProof/>
        </w:rPr>
      </w:pPr>
      <w:r>
        <w:rPr>
          <w:noProof/>
        </w:rPr>
        <w:t>Subscrição Mensal Bing Maps Public Website Usage 500K Transactions (e mais), 70</w:t>
      </w:r>
    </w:p>
    <w:p w:rsidR="00AC602F" w:rsidRDefault="00AC602F">
      <w:pPr>
        <w:pStyle w:val="Index1"/>
        <w:tabs>
          <w:tab w:val="right" w:pos="5030"/>
        </w:tabs>
        <w:rPr>
          <w:noProof/>
        </w:rPr>
      </w:pPr>
      <w:r>
        <w:rPr>
          <w:noProof/>
        </w:rPr>
        <w:t>Suplemento de Azure Rights Management Premium, 65</w:t>
      </w:r>
    </w:p>
    <w:p w:rsidR="00AC602F" w:rsidRDefault="00AC602F">
      <w:pPr>
        <w:pStyle w:val="Index1"/>
        <w:tabs>
          <w:tab w:val="right" w:pos="5030"/>
        </w:tabs>
        <w:rPr>
          <w:noProof/>
        </w:rPr>
      </w:pPr>
      <w:r>
        <w:rPr>
          <w:noProof/>
        </w:rPr>
        <w:t>Suplemento do Enterprise Cloud Suite, 58</w:t>
      </w:r>
    </w:p>
    <w:p w:rsidR="00AC602F" w:rsidRDefault="00AC602F">
      <w:pPr>
        <w:pStyle w:val="Index1"/>
        <w:tabs>
          <w:tab w:val="right" w:pos="5030"/>
        </w:tabs>
        <w:rPr>
          <w:noProof/>
        </w:rPr>
      </w:pPr>
      <w:r>
        <w:rPr>
          <w:noProof/>
        </w:rPr>
        <w:t>Suplemento do Enterprise Mobility Suite, 54</w:t>
      </w:r>
    </w:p>
    <w:p w:rsidR="00AC602F" w:rsidRDefault="00AC602F">
      <w:pPr>
        <w:pStyle w:val="Index1"/>
        <w:tabs>
          <w:tab w:val="right" w:pos="5030"/>
        </w:tabs>
        <w:rPr>
          <w:noProof/>
        </w:rPr>
      </w:pPr>
      <w:r>
        <w:rPr>
          <w:noProof/>
        </w:rPr>
        <w:t>Suplemento do Exchange Online Plan 1, 65, 67</w:t>
      </w:r>
    </w:p>
    <w:p w:rsidR="00AC602F" w:rsidRDefault="00AC602F">
      <w:pPr>
        <w:pStyle w:val="Index1"/>
        <w:tabs>
          <w:tab w:val="right" w:pos="5030"/>
        </w:tabs>
        <w:rPr>
          <w:noProof/>
        </w:rPr>
      </w:pPr>
      <w:r>
        <w:rPr>
          <w:noProof/>
        </w:rPr>
        <w:t>Suplemento do Microsoft Dynamics CRM Online Professional para Office 365, 60</w:t>
      </w:r>
    </w:p>
    <w:p w:rsidR="00AC602F" w:rsidRDefault="00AC602F">
      <w:pPr>
        <w:pStyle w:val="Index1"/>
        <w:tabs>
          <w:tab w:val="right" w:pos="5030"/>
        </w:tabs>
        <w:rPr>
          <w:noProof/>
        </w:rPr>
      </w:pPr>
      <w:r>
        <w:rPr>
          <w:noProof/>
        </w:rPr>
        <w:t>Suplemento do Microsoft Dynamics CRM Online Professional para Office 365 de SA Existente, 60</w:t>
      </w:r>
    </w:p>
    <w:p w:rsidR="00AC602F" w:rsidRDefault="00AC602F">
      <w:pPr>
        <w:pStyle w:val="Index1"/>
        <w:tabs>
          <w:tab w:val="right" w:pos="5030"/>
        </w:tabs>
        <w:rPr>
          <w:noProof/>
        </w:rPr>
      </w:pPr>
      <w:r>
        <w:rPr>
          <w:noProof/>
        </w:rPr>
        <w:t>Suplemento do Microsoft Intune, 58</w:t>
      </w:r>
    </w:p>
    <w:p w:rsidR="00AC602F" w:rsidRDefault="00AC602F">
      <w:pPr>
        <w:pStyle w:val="Index1"/>
        <w:tabs>
          <w:tab w:val="right" w:pos="5030"/>
        </w:tabs>
        <w:rPr>
          <w:noProof/>
        </w:rPr>
      </w:pPr>
      <w:r>
        <w:rPr>
          <w:noProof/>
        </w:rPr>
        <w:t>Suplemento do Office 365 Educação E5, 64</w:t>
      </w:r>
    </w:p>
    <w:p w:rsidR="00AC602F" w:rsidRDefault="00AC602F">
      <w:pPr>
        <w:pStyle w:val="Index1"/>
        <w:tabs>
          <w:tab w:val="right" w:pos="5030"/>
        </w:tabs>
        <w:rPr>
          <w:noProof/>
        </w:rPr>
      </w:pPr>
      <w:r>
        <w:rPr>
          <w:noProof/>
        </w:rPr>
        <w:t>Suplemento do Office 365 Educação E5 sem RTPC, 64</w:t>
      </w:r>
    </w:p>
    <w:p w:rsidR="00AC602F" w:rsidRDefault="00AC602F">
      <w:pPr>
        <w:pStyle w:val="Index1"/>
        <w:tabs>
          <w:tab w:val="right" w:pos="5030"/>
        </w:tabs>
        <w:rPr>
          <w:noProof/>
        </w:rPr>
      </w:pPr>
      <w:r>
        <w:rPr>
          <w:noProof/>
        </w:rPr>
        <w:t>Suplemento do Office 365 Enterprise E1, E3, 64</w:t>
      </w:r>
    </w:p>
    <w:p w:rsidR="00AC602F" w:rsidRDefault="00AC602F">
      <w:pPr>
        <w:pStyle w:val="Index1"/>
        <w:tabs>
          <w:tab w:val="right" w:pos="5030"/>
        </w:tabs>
        <w:rPr>
          <w:noProof/>
        </w:rPr>
      </w:pPr>
      <w:r>
        <w:rPr>
          <w:noProof/>
        </w:rPr>
        <w:t>Suplemento do Office 365 Enterprise E3, E4 sem ProPlus, 64</w:t>
      </w:r>
    </w:p>
    <w:p w:rsidR="00AC602F" w:rsidRDefault="00AC602F">
      <w:pPr>
        <w:pStyle w:val="Index1"/>
        <w:tabs>
          <w:tab w:val="right" w:pos="5030"/>
        </w:tabs>
        <w:rPr>
          <w:noProof/>
        </w:rPr>
      </w:pPr>
      <w:r>
        <w:rPr>
          <w:noProof/>
        </w:rPr>
        <w:t>Suplemento do Office 365 Enterprise E4, 64</w:t>
      </w:r>
    </w:p>
    <w:p w:rsidR="00AC602F" w:rsidRDefault="00AC602F">
      <w:pPr>
        <w:pStyle w:val="Index1"/>
        <w:tabs>
          <w:tab w:val="right" w:pos="5030"/>
        </w:tabs>
        <w:rPr>
          <w:noProof/>
        </w:rPr>
      </w:pPr>
      <w:r>
        <w:rPr>
          <w:noProof/>
        </w:rPr>
        <w:t>Suplemento do Office 365 Enterprise E5, 64</w:t>
      </w:r>
    </w:p>
    <w:p w:rsidR="00AC602F" w:rsidRDefault="00AC602F">
      <w:pPr>
        <w:pStyle w:val="Index1"/>
        <w:tabs>
          <w:tab w:val="right" w:pos="5030"/>
        </w:tabs>
        <w:rPr>
          <w:noProof/>
        </w:rPr>
      </w:pPr>
      <w:r>
        <w:rPr>
          <w:noProof/>
        </w:rPr>
        <w:t>Suplemento do Office 365 Médias Empresas, 65</w:t>
      </w:r>
    </w:p>
    <w:p w:rsidR="00AC602F" w:rsidRDefault="00AC602F">
      <w:pPr>
        <w:pStyle w:val="Index1"/>
        <w:tabs>
          <w:tab w:val="right" w:pos="5030"/>
        </w:tabs>
        <w:rPr>
          <w:noProof/>
        </w:rPr>
      </w:pPr>
      <w:r>
        <w:rPr>
          <w:noProof/>
        </w:rPr>
        <w:t>Suplemento do Operations Management Suite Datacenter Edition, 56</w:t>
      </w:r>
    </w:p>
    <w:p w:rsidR="00AC602F" w:rsidRDefault="00AC602F">
      <w:pPr>
        <w:pStyle w:val="Index1"/>
        <w:tabs>
          <w:tab w:val="right" w:pos="5030"/>
        </w:tabs>
        <w:rPr>
          <w:noProof/>
        </w:rPr>
      </w:pPr>
      <w:r>
        <w:rPr>
          <w:noProof/>
        </w:rPr>
        <w:t>Suplemento do Operations Management Suite Standard Edition, 56</w:t>
      </w:r>
    </w:p>
    <w:p w:rsidR="00AC602F" w:rsidRDefault="00AC602F">
      <w:pPr>
        <w:pStyle w:val="Index1"/>
        <w:tabs>
          <w:tab w:val="right" w:pos="5030"/>
        </w:tabs>
        <w:rPr>
          <w:noProof/>
        </w:rPr>
      </w:pPr>
      <w:r>
        <w:rPr>
          <w:noProof/>
        </w:rPr>
        <w:t>Suplemento do SharePoint Online Plan 1, 69</w:t>
      </w:r>
    </w:p>
    <w:p w:rsidR="00AC602F" w:rsidRDefault="00AC602F">
      <w:pPr>
        <w:pStyle w:val="Index1"/>
        <w:tabs>
          <w:tab w:val="right" w:pos="5030"/>
        </w:tabs>
        <w:rPr>
          <w:noProof/>
        </w:rPr>
      </w:pPr>
      <w:r>
        <w:rPr>
          <w:noProof/>
        </w:rPr>
        <w:t>Suplemento do Skype para Empresas Online Plan 1, 65, 69</w:t>
      </w:r>
    </w:p>
    <w:p w:rsidR="00AC602F" w:rsidRDefault="00AC602F">
      <w:pPr>
        <w:pStyle w:val="Index1"/>
        <w:tabs>
          <w:tab w:val="right" w:pos="5030"/>
        </w:tabs>
        <w:rPr>
          <w:noProof/>
        </w:rPr>
      </w:pPr>
      <w:r>
        <w:rPr>
          <w:noProof/>
        </w:rPr>
        <w:t>Suplemento Por Utilizador do SA do Windows (SL), 40</w:t>
      </w:r>
    </w:p>
    <w:p w:rsidR="00AC602F" w:rsidRDefault="00AC602F">
      <w:pPr>
        <w:pStyle w:val="Index1"/>
        <w:tabs>
          <w:tab w:val="right" w:pos="5030"/>
        </w:tabs>
        <w:rPr>
          <w:noProof/>
        </w:rPr>
      </w:pPr>
      <w:r>
        <w:rPr>
          <w:noProof/>
        </w:rPr>
        <w:t>Suporte Avançado do Microsoft Dynamics CRM Online, 60</w:t>
      </w:r>
    </w:p>
    <w:p w:rsidR="00AC602F" w:rsidRDefault="00AC602F">
      <w:pPr>
        <w:pStyle w:val="Index1"/>
        <w:tabs>
          <w:tab w:val="right" w:pos="5030"/>
        </w:tabs>
        <w:rPr>
          <w:noProof/>
        </w:rPr>
      </w:pPr>
      <w:r>
        <w:rPr>
          <w:noProof/>
        </w:rPr>
        <w:t>Suporte Avançado do Microsoft Dynamics Marketing, 61</w:t>
      </w:r>
    </w:p>
    <w:p w:rsidR="00AC602F" w:rsidRDefault="00AC602F">
      <w:pPr>
        <w:pStyle w:val="Index1"/>
        <w:tabs>
          <w:tab w:val="right" w:pos="5030"/>
        </w:tabs>
        <w:rPr>
          <w:noProof/>
        </w:rPr>
      </w:pPr>
      <w:r>
        <w:rPr>
          <w:noProof/>
        </w:rPr>
        <w:t>Suporte Avançado do Microsoft Social Engagement, 61</w:t>
      </w:r>
    </w:p>
    <w:p w:rsidR="00AC602F" w:rsidRDefault="00AC602F">
      <w:pPr>
        <w:pStyle w:val="Index1"/>
        <w:tabs>
          <w:tab w:val="right" w:pos="5030"/>
        </w:tabs>
        <w:rPr>
          <w:noProof/>
        </w:rPr>
      </w:pPr>
      <w:r>
        <w:rPr>
          <w:noProof/>
        </w:rPr>
        <w:t>Suporte Avançado do Parature, 62</w:t>
      </w:r>
    </w:p>
    <w:p w:rsidR="00AC602F" w:rsidRDefault="00AC602F">
      <w:pPr>
        <w:pStyle w:val="Index1"/>
        <w:tabs>
          <w:tab w:val="right" w:pos="5030"/>
        </w:tabs>
        <w:rPr>
          <w:noProof/>
        </w:rPr>
      </w:pPr>
      <w:r>
        <w:rPr>
          <w:noProof/>
        </w:rPr>
        <w:t>Suporte Direto Profissional Ativo do Azure, 53</w:t>
      </w:r>
    </w:p>
    <w:p w:rsidR="00AC602F" w:rsidRDefault="00AC602F">
      <w:pPr>
        <w:pStyle w:val="Index1"/>
        <w:tabs>
          <w:tab w:val="right" w:pos="5030"/>
        </w:tabs>
        <w:rPr>
          <w:noProof/>
        </w:rPr>
      </w:pPr>
      <w:r>
        <w:rPr>
          <w:noProof/>
        </w:rPr>
        <w:t>Suporte Direto Profissional do Microsoft Dynamics AX, 59</w:t>
      </w:r>
    </w:p>
    <w:p w:rsidR="00AC602F" w:rsidRDefault="00AC602F">
      <w:pPr>
        <w:pStyle w:val="Index1"/>
        <w:tabs>
          <w:tab w:val="right" w:pos="5030"/>
        </w:tabs>
        <w:rPr>
          <w:noProof/>
        </w:rPr>
      </w:pPr>
      <w:r>
        <w:rPr>
          <w:noProof/>
        </w:rPr>
        <w:t>Suporte Direto Profissional do Microsoft Dynamics CRM Online, 60</w:t>
      </w:r>
    </w:p>
    <w:p w:rsidR="00AC602F" w:rsidRDefault="00AC602F">
      <w:pPr>
        <w:pStyle w:val="Index1"/>
        <w:tabs>
          <w:tab w:val="right" w:pos="5030"/>
        </w:tabs>
        <w:rPr>
          <w:noProof/>
        </w:rPr>
      </w:pPr>
      <w:r>
        <w:rPr>
          <w:noProof/>
        </w:rPr>
        <w:t>Suporte Direto Profissional do Microsoft Dynamics Marketing, 61</w:t>
      </w:r>
    </w:p>
    <w:p w:rsidR="00AC602F" w:rsidRDefault="00AC602F">
      <w:pPr>
        <w:pStyle w:val="Index1"/>
        <w:tabs>
          <w:tab w:val="right" w:pos="5030"/>
        </w:tabs>
        <w:rPr>
          <w:noProof/>
        </w:rPr>
      </w:pPr>
      <w:r>
        <w:rPr>
          <w:noProof/>
        </w:rPr>
        <w:t>Suporte Direto Profissional do Microsoft Social Engagement, 61</w:t>
      </w:r>
    </w:p>
    <w:p w:rsidR="00AC602F" w:rsidRDefault="00AC602F">
      <w:pPr>
        <w:pStyle w:val="Index1"/>
        <w:tabs>
          <w:tab w:val="right" w:pos="5030"/>
        </w:tabs>
        <w:rPr>
          <w:noProof/>
        </w:rPr>
      </w:pPr>
      <w:r>
        <w:rPr>
          <w:noProof/>
        </w:rPr>
        <w:t>Suporte Direto Profissional do Parature, 62</w:t>
      </w:r>
    </w:p>
    <w:p w:rsidR="00AC602F" w:rsidRDefault="00AC602F">
      <w:pPr>
        <w:pStyle w:val="Index1"/>
        <w:tabs>
          <w:tab w:val="right" w:pos="5030"/>
        </w:tabs>
        <w:rPr>
          <w:noProof/>
        </w:rPr>
      </w:pPr>
      <w:r>
        <w:rPr>
          <w:noProof/>
        </w:rPr>
        <w:t>Suporte Padrão Ativo do Azure, 53</w:t>
      </w:r>
    </w:p>
    <w:p w:rsidR="00AC602F" w:rsidRDefault="00AC602F">
      <w:pPr>
        <w:pStyle w:val="Index1"/>
        <w:tabs>
          <w:tab w:val="right" w:pos="5030"/>
        </w:tabs>
        <w:rPr>
          <w:noProof/>
        </w:rPr>
      </w:pPr>
      <w:r>
        <w:rPr>
          <w:noProof/>
        </w:rPr>
        <w:t>Suporte Padrão StorSimple, 57</w:t>
      </w:r>
    </w:p>
    <w:p w:rsidR="00AC602F" w:rsidRDefault="00AC602F">
      <w:pPr>
        <w:pStyle w:val="Index1"/>
        <w:tabs>
          <w:tab w:val="right" w:pos="5030"/>
        </w:tabs>
        <w:rPr>
          <w:noProof/>
        </w:rPr>
      </w:pPr>
      <w:r>
        <w:rPr>
          <w:noProof/>
        </w:rPr>
        <w:t>Suporte Padrão StorSimple para Suporte Premium, 57</w:t>
      </w:r>
    </w:p>
    <w:p w:rsidR="00AC602F" w:rsidRDefault="00AC602F">
      <w:pPr>
        <w:pStyle w:val="Index1"/>
        <w:tabs>
          <w:tab w:val="right" w:pos="5030"/>
        </w:tabs>
        <w:rPr>
          <w:noProof/>
        </w:rPr>
      </w:pPr>
      <w:r>
        <w:rPr>
          <w:noProof/>
        </w:rPr>
        <w:t>Suporte StorSimple Premium, 57</w:t>
      </w:r>
    </w:p>
    <w:p w:rsidR="00AC602F" w:rsidRDefault="00AC602F">
      <w:pPr>
        <w:pStyle w:val="Index1"/>
        <w:tabs>
          <w:tab w:val="right" w:pos="5030"/>
        </w:tabs>
        <w:rPr>
          <w:noProof/>
        </w:rPr>
      </w:pPr>
      <w:r>
        <w:rPr>
          <w:noProof/>
        </w:rPr>
        <w:t>System Center 2012, 33, 88</w:t>
      </w:r>
    </w:p>
    <w:p w:rsidR="00AC602F" w:rsidRDefault="00AC602F">
      <w:pPr>
        <w:pStyle w:val="Index1"/>
        <w:tabs>
          <w:tab w:val="right" w:pos="5030"/>
        </w:tabs>
        <w:rPr>
          <w:noProof/>
        </w:rPr>
      </w:pPr>
      <w:r>
        <w:rPr>
          <w:noProof/>
        </w:rPr>
        <w:t>System Center 2012 Client Management Suite, 34</w:t>
      </w:r>
    </w:p>
    <w:p w:rsidR="00AC602F" w:rsidRDefault="00AC602F">
      <w:pPr>
        <w:pStyle w:val="Index1"/>
        <w:tabs>
          <w:tab w:val="right" w:pos="5030"/>
        </w:tabs>
        <w:rPr>
          <w:noProof/>
        </w:rPr>
      </w:pPr>
      <w:r>
        <w:rPr>
          <w:noProof/>
        </w:rPr>
        <w:t>System Center 2012 Configuration Manager, 35</w:t>
      </w:r>
    </w:p>
    <w:p w:rsidR="00AC602F" w:rsidRDefault="00AC602F">
      <w:pPr>
        <w:pStyle w:val="Index1"/>
        <w:tabs>
          <w:tab w:val="right" w:pos="5030"/>
        </w:tabs>
        <w:rPr>
          <w:noProof/>
        </w:rPr>
      </w:pPr>
      <w:r>
        <w:rPr>
          <w:noProof/>
        </w:rPr>
        <w:t>System Center 2012 Datacenter Server Management License, 82</w:t>
      </w:r>
    </w:p>
    <w:p w:rsidR="00AC602F" w:rsidRDefault="00AC602F">
      <w:pPr>
        <w:pStyle w:val="Index1"/>
        <w:tabs>
          <w:tab w:val="right" w:pos="5030"/>
        </w:tabs>
        <w:rPr>
          <w:noProof/>
        </w:rPr>
      </w:pPr>
      <w:r>
        <w:rPr>
          <w:noProof/>
        </w:rPr>
        <w:t>System Center 2012 Endpoint Protection, 36</w:t>
      </w:r>
    </w:p>
    <w:p w:rsidR="00AC602F" w:rsidRDefault="00AC602F">
      <w:pPr>
        <w:pStyle w:val="Index1"/>
        <w:tabs>
          <w:tab w:val="right" w:pos="5030"/>
        </w:tabs>
        <w:rPr>
          <w:noProof/>
        </w:rPr>
      </w:pPr>
      <w:r>
        <w:rPr>
          <w:noProof/>
        </w:rPr>
        <w:t>System Center 2012 R2 Client Management Suite, 34</w:t>
      </w:r>
    </w:p>
    <w:p w:rsidR="00AC602F" w:rsidRDefault="00AC602F">
      <w:pPr>
        <w:pStyle w:val="Index1"/>
        <w:tabs>
          <w:tab w:val="right" w:pos="5030"/>
        </w:tabs>
        <w:rPr>
          <w:noProof/>
        </w:rPr>
      </w:pPr>
      <w:r>
        <w:rPr>
          <w:noProof/>
        </w:rPr>
        <w:t>System Center 2012 R2 Configuration Manager Client Management License, 35</w:t>
      </w:r>
    </w:p>
    <w:p w:rsidR="00AC602F" w:rsidRDefault="00AC602F">
      <w:pPr>
        <w:pStyle w:val="Index1"/>
        <w:tabs>
          <w:tab w:val="right" w:pos="5030"/>
        </w:tabs>
        <w:rPr>
          <w:noProof/>
        </w:rPr>
      </w:pPr>
      <w:r>
        <w:rPr>
          <w:noProof/>
        </w:rPr>
        <w:t>System Center 2012 R2 Datacenter Server Management License, 33</w:t>
      </w:r>
    </w:p>
    <w:p w:rsidR="00AC602F" w:rsidRDefault="00AC602F">
      <w:pPr>
        <w:pStyle w:val="Index1"/>
        <w:tabs>
          <w:tab w:val="right" w:pos="5030"/>
        </w:tabs>
        <w:rPr>
          <w:noProof/>
        </w:rPr>
      </w:pPr>
      <w:r>
        <w:rPr>
          <w:noProof/>
        </w:rPr>
        <w:t>System Center 2012 R2 Endpoint Protection, 36</w:t>
      </w:r>
    </w:p>
    <w:p w:rsidR="00AC602F" w:rsidRDefault="00AC602F">
      <w:pPr>
        <w:pStyle w:val="Index1"/>
        <w:tabs>
          <w:tab w:val="right" w:pos="5030"/>
        </w:tabs>
        <w:rPr>
          <w:noProof/>
        </w:rPr>
      </w:pPr>
      <w:r>
        <w:rPr>
          <w:noProof/>
        </w:rPr>
        <w:t>System Center 2012 R2 Standard Server Management License, 33</w:t>
      </w:r>
    </w:p>
    <w:p w:rsidR="00AC602F" w:rsidRDefault="00AC602F">
      <w:pPr>
        <w:pStyle w:val="Index1"/>
        <w:tabs>
          <w:tab w:val="right" w:pos="5030"/>
        </w:tabs>
        <w:rPr>
          <w:noProof/>
        </w:rPr>
      </w:pPr>
      <w:r>
        <w:rPr>
          <w:noProof/>
        </w:rPr>
        <w:t>System Center 2012 Standard Server Management License, 82</w:t>
      </w:r>
    </w:p>
    <w:p w:rsidR="00AC602F" w:rsidRDefault="00AC602F">
      <w:pPr>
        <w:pStyle w:val="Index1"/>
        <w:tabs>
          <w:tab w:val="right" w:pos="5030"/>
        </w:tabs>
        <w:rPr>
          <w:noProof/>
        </w:rPr>
      </w:pPr>
      <w:r>
        <w:rPr>
          <w:noProof/>
        </w:rPr>
        <w:t>System Center Configuration Manager Server 2007 R2, 35</w:t>
      </w:r>
    </w:p>
    <w:p w:rsidR="00AC602F" w:rsidRDefault="00AC602F">
      <w:pPr>
        <w:pStyle w:val="Index1"/>
        <w:tabs>
          <w:tab w:val="right" w:pos="5030"/>
        </w:tabs>
        <w:rPr>
          <w:noProof/>
        </w:rPr>
      </w:pPr>
      <w:r>
        <w:rPr>
          <w:noProof/>
        </w:rPr>
        <w:t>System Center Data Protection Manager 2010, 35</w:t>
      </w:r>
    </w:p>
    <w:p w:rsidR="00AC602F" w:rsidRDefault="00AC602F">
      <w:pPr>
        <w:pStyle w:val="Index1"/>
        <w:tabs>
          <w:tab w:val="right" w:pos="5030"/>
        </w:tabs>
        <w:rPr>
          <w:noProof/>
        </w:rPr>
      </w:pPr>
      <w:r>
        <w:rPr>
          <w:noProof/>
        </w:rPr>
        <w:t>System Center Datacenter, 19, 86, 88</w:t>
      </w:r>
    </w:p>
    <w:p w:rsidR="00AC602F" w:rsidRDefault="00AC602F">
      <w:pPr>
        <w:pStyle w:val="Index1"/>
        <w:tabs>
          <w:tab w:val="right" w:pos="5030"/>
        </w:tabs>
        <w:rPr>
          <w:noProof/>
        </w:rPr>
      </w:pPr>
      <w:r>
        <w:rPr>
          <w:noProof/>
        </w:rPr>
        <w:t>System Center Global Service Monitor, 34</w:t>
      </w:r>
    </w:p>
    <w:p w:rsidR="00AC602F" w:rsidRDefault="00AC602F">
      <w:pPr>
        <w:pStyle w:val="Index1"/>
        <w:tabs>
          <w:tab w:val="right" w:pos="5030"/>
        </w:tabs>
        <w:rPr>
          <w:noProof/>
        </w:rPr>
      </w:pPr>
      <w:r>
        <w:rPr>
          <w:noProof/>
        </w:rPr>
        <w:t>System Center Operation Manager 2007 R2, 36</w:t>
      </w:r>
    </w:p>
    <w:p w:rsidR="00AC602F" w:rsidRDefault="00AC602F">
      <w:pPr>
        <w:pStyle w:val="Index1"/>
        <w:tabs>
          <w:tab w:val="right" w:pos="5030"/>
        </w:tabs>
        <w:rPr>
          <w:noProof/>
        </w:rPr>
      </w:pPr>
      <w:r>
        <w:rPr>
          <w:noProof/>
        </w:rPr>
        <w:t>System Center Server Management Suite, 37</w:t>
      </w:r>
    </w:p>
    <w:p w:rsidR="00AC602F" w:rsidRDefault="00AC602F">
      <w:pPr>
        <w:pStyle w:val="Index1"/>
        <w:tabs>
          <w:tab w:val="right" w:pos="5030"/>
        </w:tabs>
        <w:rPr>
          <w:noProof/>
        </w:rPr>
      </w:pPr>
      <w:r>
        <w:rPr>
          <w:noProof/>
        </w:rPr>
        <w:t>System Center Service Manager 2010, 37</w:t>
      </w:r>
    </w:p>
    <w:p w:rsidR="00AC602F" w:rsidRDefault="00AC602F">
      <w:pPr>
        <w:pStyle w:val="Index1"/>
        <w:tabs>
          <w:tab w:val="right" w:pos="5030"/>
        </w:tabs>
        <w:rPr>
          <w:noProof/>
        </w:rPr>
      </w:pPr>
      <w:r>
        <w:rPr>
          <w:noProof/>
        </w:rPr>
        <w:t>System Center Standard, 19, 86, 88</w:t>
      </w:r>
    </w:p>
    <w:p w:rsidR="00AC602F" w:rsidRDefault="00AC602F">
      <w:pPr>
        <w:pStyle w:val="Index1"/>
        <w:tabs>
          <w:tab w:val="right" w:pos="5030"/>
        </w:tabs>
        <w:rPr>
          <w:noProof/>
        </w:rPr>
      </w:pPr>
      <w:r>
        <w:rPr>
          <w:noProof/>
        </w:rPr>
        <w:t>Utilização Comercial do Office Casa e Estudantes 2013 RT, 24</w:t>
      </w:r>
    </w:p>
    <w:p w:rsidR="00AC602F" w:rsidRDefault="00AC602F">
      <w:pPr>
        <w:pStyle w:val="Index1"/>
        <w:tabs>
          <w:tab w:val="right" w:pos="5030"/>
        </w:tabs>
        <w:rPr>
          <w:noProof/>
        </w:rPr>
      </w:pPr>
      <w:r>
        <w:rPr>
          <w:noProof/>
        </w:rPr>
        <w:t>VDI, 37</w:t>
      </w:r>
    </w:p>
    <w:p w:rsidR="00AC602F" w:rsidRDefault="00AC602F">
      <w:pPr>
        <w:pStyle w:val="Index1"/>
        <w:tabs>
          <w:tab w:val="right" w:pos="5030"/>
        </w:tabs>
        <w:rPr>
          <w:noProof/>
        </w:rPr>
      </w:pPr>
      <w:r>
        <w:rPr>
          <w:noProof/>
        </w:rPr>
        <w:t>Visio 2016 Professional, 24</w:t>
      </w:r>
    </w:p>
    <w:p w:rsidR="00AC602F" w:rsidRDefault="00AC602F">
      <w:pPr>
        <w:pStyle w:val="Index1"/>
        <w:tabs>
          <w:tab w:val="right" w:pos="5030"/>
        </w:tabs>
        <w:rPr>
          <w:noProof/>
        </w:rPr>
      </w:pPr>
      <w:r>
        <w:rPr>
          <w:noProof/>
        </w:rPr>
        <w:t>Visio 2016 Standard, 24</w:t>
      </w:r>
    </w:p>
    <w:p w:rsidR="00AC602F" w:rsidRDefault="00AC602F">
      <w:pPr>
        <w:pStyle w:val="Index1"/>
        <w:tabs>
          <w:tab w:val="right" w:pos="5030"/>
        </w:tabs>
        <w:rPr>
          <w:noProof/>
        </w:rPr>
      </w:pPr>
      <w:r>
        <w:rPr>
          <w:noProof/>
        </w:rPr>
        <w:t>Visio Pro para Office 365, 62</w:t>
      </w:r>
    </w:p>
    <w:p w:rsidR="00AC602F" w:rsidRDefault="00AC602F">
      <w:pPr>
        <w:pStyle w:val="Index1"/>
        <w:tabs>
          <w:tab w:val="right" w:pos="5030"/>
        </w:tabs>
        <w:rPr>
          <w:noProof/>
        </w:rPr>
      </w:pPr>
      <w:r>
        <w:rPr>
          <w:noProof/>
        </w:rPr>
        <w:t>Visio Pro para Office 365 de SA Existente, 62</w:t>
      </w:r>
    </w:p>
    <w:p w:rsidR="00AC602F" w:rsidRDefault="00AC602F">
      <w:pPr>
        <w:pStyle w:val="Index1"/>
        <w:tabs>
          <w:tab w:val="right" w:pos="5030"/>
        </w:tabs>
        <w:rPr>
          <w:noProof/>
        </w:rPr>
      </w:pPr>
      <w:r>
        <w:rPr>
          <w:noProof/>
        </w:rPr>
        <w:t>Visio Professional, 63, 88</w:t>
      </w:r>
    </w:p>
    <w:p w:rsidR="00AC602F" w:rsidRDefault="00AC602F">
      <w:pPr>
        <w:pStyle w:val="Index1"/>
        <w:tabs>
          <w:tab w:val="right" w:pos="5030"/>
        </w:tabs>
        <w:rPr>
          <w:noProof/>
        </w:rPr>
      </w:pPr>
      <w:r>
        <w:rPr>
          <w:noProof/>
        </w:rPr>
        <w:t>Visio Standard, 82, 88</w:t>
      </w:r>
    </w:p>
    <w:p w:rsidR="00AC602F" w:rsidRDefault="00AC602F">
      <w:pPr>
        <w:pStyle w:val="Index1"/>
        <w:tabs>
          <w:tab w:val="right" w:pos="5030"/>
        </w:tabs>
        <w:rPr>
          <w:noProof/>
        </w:rPr>
      </w:pPr>
      <w:r>
        <w:rPr>
          <w:noProof/>
        </w:rPr>
        <w:t>Visual Studio 2013, 37</w:t>
      </w:r>
    </w:p>
    <w:p w:rsidR="00AC602F" w:rsidRDefault="00AC602F">
      <w:pPr>
        <w:pStyle w:val="Index1"/>
        <w:tabs>
          <w:tab w:val="right" w:pos="5030"/>
        </w:tabs>
        <w:rPr>
          <w:noProof/>
        </w:rPr>
      </w:pPr>
      <w:r>
        <w:rPr>
          <w:noProof/>
        </w:rPr>
        <w:t>Visual Studio Enterprise 2015 com MSDN, 37</w:t>
      </w:r>
    </w:p>
    <w:p w:rsidR="00AC602F" w:rsidRDefault="00AC602F">
      <w:pPr>
        <w:pStyle w:val="Index1"/>
        <w:tabs>
          <w:tab w:val="right" w:pos="5030"/>
        </w:tabs>
        <w:rPr>
          <w:noProof/>
        </w:rPr>
      </w:pPr>
      <w:r>
        <w:rPr>
          <w:noProof/>
        </w:rPr>
        <w:t>Visual Studio Enterprise com MSDN, 82, 88</w:t>
      </w:r>
    </w:p>
    <w:p w:rsidR="00AC602F" w:rsidRDefault="00AC602F">
      <w:pPr>
        <w:pStyle w:val="Index1"/>
        <w:tabs>
          <w:tab w:val="right" w:pos="5030"/>
        </w:tabs>
        <w:rPr>
          <w:noProof/>
        </w:rPr>
      </w:pPr>
      <w:r>
        <w:rPr>
          <w:noProof/>
        </w:rPr>
        <w:t>Visual Studio Professional 2015, 37</w:t>
      </w:r>
    </w:p>
    <w:p w:rsidR="00AC602F" w:rsidRDefault="00AC602F">
      <w:pPr>
        <w:pStyle w:val="Index1"/>
        <w:tabs>
          <w:tab w:val="right" w:pos="5030"/>
        </w:tabs>
        <w:rPr>
          <w:noProof/>
        </w:rPr>
      </w:pPr>
      <w:r>
        <w:rPr>
          <w:noProof/>
        </w:rPr>
        <w:t>Visual Studio Professional 2015 com MSDN, 37</w:t>
      </w:r>
    </w:p>
    <w:p w:rsidR="00AC602F" w:rsidRDefault="00AC602F">
      <w:pPr>
        <w:pStyle w:val="Index1"/>
        <w:tabs>
          <w:tab w:val="right" w:pos="5030"/>
        </w:tabs>
        <w:rPr>
          <w:noProof/>
        </w:rPr>
      </w:pPr>
      <w:r>
        <w:rPr>
          <w:noProof/>
        </w:rPr>
        <w:t>Visual Studio Professional com MSDN, 82, 88</w:t>
      </w:r>
    </w:p>
    <w:p w:rsidR="00AC602F" w:rsidRDefault="00AC602F">
      <w:pPr>
        <w:pStyle w:val="Index1"/>
        <w:tabs>
          <w:tab w:val="right" w:pos="5030"/>
        </w:tabs>
        <w:rPr>
          <w:noProof/>
        </w:rPr>
      </w:pPr>
      <w:r>
        <w:rPr>
          <w:noProof/>
        </w:rPr>
        <w:t>Visual Studio Team Foundation Server 2015 CAL, 39</w:t>
      </w:r>
    </w:p>
    <w:p w:rsidR="00AC602F" w:rsidRDefault="00AC602F">
      <w:pPr>
        <w:pStyle w:val="Index1"/>
        <w:tabs>
          <w:tab w:val="right" w:pos="5030"/>
        </w:tabs>
        <w:rPr>
          <w:noProof/>
        </w:rPr>
      </w:pPr>
      <w:r>
        <w:rPr>
          <w:noProof/>
        </w:rPr>
        <w:t>Visual Studio Team Foundation Server 2015 com Tecnologia SQL Server 2014, 39</w:t>
      </w:r>
    </w:p>
    <w:p w:rsidR="00AC602F" w:rsidRDefault="00AC602F">
      <w:pPr>
        <w:pStyle w:val="Index1"/>
        <w:tabs>
          <w:tab w:val="right" w:pos="5030"/>
        </w:tabs>
        <w:rPr>
          <w:noProof/>
        </w:rPr>
      </w:pPr>
      <w:r>
        <w:rPr>
          <w:noProof/>
        </w:rPr>
        <w:t>Visual Studio Test Professional 2015 com MSDN, 37</w:t>
      </w:r>
    </w:p>
    <w:p w:rsidR="00AC602F" w:rsidRDefault="00AC602F">
      <w:pPr>
        <w:pStyle w:val="Index1"/>
        <w:tabs>
          <w:tab w:val="right" w:pos="5030"/>
        </w:tabs>
        <w:rPr>
          <w:noProof/>
        </w:rPr>
      </w:pPr>
      <w:r>
        <w:rPr>
          <w:noProof/>
        </w:rPr>
        <w:t>Visual Studio Test Professional com MSDN, 82, 88</w:t>
      </w:r>
    </w:p>
    <w:p w:rsidR="00AC602F" w:rsidRDefault="00AC602F">
      <w:pPr>
        <w:pStyle w:val="Index1"/>
        <w:tabs>
          <w:tab w:val="right" w:pos="5030"/>
        </w:tabs>
        <w:rPr>
          <w:noProof/>
        </w:rPr>
      </w:pPr>
      <w:r>
        <w:rPr>
          <w:noProof/>
        </w:rPr>
        <w:t>Windows 10 Education Upgrade (Por Dispositivo), 40</w:t>
      </w:r>
    </w:p>
    <w:p w:rsidR="00AC602F" w:rsidRDefault="00AC602F">
      <w:pPr>
        <w:pStyle w:val="Index1"/>
        <w:tabs>
          <w:tab w:val="right" w:pos="5030"/>
        </w:tabs>
        <w:rPr>
          <w:noProof/>
        </w:rPr>
      </w:pPr>
      <w:r>
        <w:rPr>
          <w:noProof/>
        </w:rPr>
        <w:t>Windows 10 Enterprise LTSB Upgrade, 40</w:t>
      </w:r>
    </w:p>
    <w:p w:rsidR="00AC602F" w:rsidRDefault="00AC602F">
      <w:pPr>
        <w:pStyle w:val="Index1"/>
        <w:tabs>
          <w:tab w:val="right" w:pos="5030"/>
        </w:tabs>
        <w:rPr>
          <w:noProof/>
        </w:rPr>
      </w:pPr>
      <w:r>
        <w:rPr>
          <w:noProof/>
        </w:rPr>
        <w:t>Windows 10 Enterprise Software Assurance Por Utilizador (SL), 40</w:t>
      </w:r>
    </w:p>
    <w:p w:rsidR="00AC602F" w:rsidRDefault="00AC602F">
      <w:pPr>
        <w:pStyle w:val="Index1"/>
        <w:tabs>
          <w:tab w:val="right" w:pos="5030"/>
        </w:tabs>
        <w:rPr>
          <w:noProof/>
        </w:rPr>
      </w:pPr>
      <w:r>
        <w:rPr>
          <w:noProof/>
        </w:rPr>
        <w:t>Windows 10 Enterprise Software Assurance Por Utilizador de SA Existente, 40</w:t>
      </w:r>
    </w:p>
    <w:p w:rsidR="00AC602F" w:rsidRDefault="00AC602F">
      <w:pPr>
        <w:pStyle w:val="Index1"/>
        <w:tabs>
          <w:tab w:val="right" w:pos="5030"/>
        </w:tabs>
        <w:rPr>
          <w:noProof/>
        </w:rPr>
      </w:pPr>
      <w:r>
        <w:rPr>
          <w:noProof/>
        </w:rPr>
        <w:t>Windows 10 IoT Enterprise, 41</w:t>
      </w:r>
    </w:p>
    <w:p w:rsidR="00AC602F" w:rsidRDefault="00AC602F">
      <w:pPr>
        <w:pStyle w:val="Index1"/>
        <w:tabs>
          <w:tab w:val="right" w:pos="5030"/>
        </w:tabs>
        <w:rPr>
          <w:noProof/>
        </w:rPr>
      </w:pPr>
      <w:r>
        <w:rPr>
          <w:noProof/>
        </w:rPr>
        <w:t>Windows 10 Mobile Enterprise (Por Dispositivo), 40</w:t>
      </w:r>
    </w:p>
    <w:p w:rsidR="00AC602F" w:rsidRDefault="00AC602F">
      <w:pPr>
        <w:pStyle w:val="Index1"/>
        <w:tabs>
          <w:tab w:val="right" w:pos="5030"/>
        </w:tabs>
        <w:rPr>
          <w:noProof/>
        </w:rPr>
      </w:pPr>
      <w:r>
        <w:rPr>
          <w:noProof/>
        </w:rPr>
        <w:t>Windows 2000 Professional for Embedded Systems, 41</w:t>
      </w:r>
    </w:p>
    <w:p w:rsidR="00AC602F" w:rsidRDefault="00AC602F">
      <w:pPr>
        <w:pStyle w:val="Index1"/>
        <w:tabs>
          <w:tab w:val="right" w:pos="5030"/>
        </w:tabs>
        <w:rPr>
          <w:noProof/>
        </w:rPr>
      </w:pPr>
      <w:r>
        <w:rPr>
          <w:noProof/>
        </w:rPr>
        <w:t>Windows 7, 41</w:t>
      </w:r>
    </w:p>
    <w:p w:rsidR="00AC602F" w:rsidRDefault="00AC602F">
      <w:pPr>
        <w:pStyle w:val="Index1"/>
        <w:tabs>
          <w:tab w:val="right" w:pos="5030"/>
        </w:tabs>
        <w:rPr>
          <w:noProof/>
        </w:rPr>
      </w:pPr>
      <w:r>
        <w:rPr>
          <w:noProof/>
        </w:rPr>
        <w:t>Windows 7 Professional for Embedded Systems, 41</w:t>
      </w:r>
    </w:p>
    <w:p w:rsidR="00AC602F" w:rsidRDefault="00AC602F">
      <w:pPr>
        <w:pStyle w:val="Index1"/>
        <w:tabs>
          <w:tab w:val="right" w:pos="5030"/>
        </w:tabs>
        <w:rPr>
          <w:noProof/>
        </w:rPr>
      </w:pPr>
      <w:r>
        <w:rPr>
          <w:noProof/>
        </w:rPr>
        <w:t>Windows 7 Ultimate for Embedded Systems, 41</w:t>
      </w:r>
    </w:p>
    <w:p w:rsidR="00AC602F" w:rsidRDefault="00AC602F">
      <w:pPr>
        <w:pStyle w:val="Index1"/>
        <w:tabs>
          <w:tab w:val="right" w:pos="5030"/>
        </w:tabs>
        <w:rPr>
          <w:noProof/>
        </w:rPr>
      </w:pPr>
      <w:r>
        <w:rPr>
          <w:noProof/>
        </w:rPr>
        <w:t>Windows 8.1, 40</w:t>
      </w:r>
    </w:p>
    <w:p w:rsidR="00AC602F" w:rsidRDefault="00AC602F">
      <w:pPr>
        <w:pStyle w:val="Index1"/>
        <w:tabs>
          <w:tab w:val="right" w:pos="5030"/>
        </w:tabs>
        <w:rPr>
          <w:noProof/>
        </w:rPr>
      </w:pPr>
      <w:r>
        <w:rPr>
          <w:noProof/>
        </w:rPr>
        <w:t>Windows 8.1 Enterprise Sideloading, 40</w:t>
      </w:r>
    </w:p>
    <w:p w:rsidR="00AC602F" w:rsidRDefault="00AC602F">
      <w:pPr>
        <w:pStyle w:val="Index1"/>
        <w:tabs>
          <w:tab w:val="right" w:pos="5030"/>
        </w:tabs>
        <w:rPr>
          <w:noProof/>
        </w:rPr>
      </w:pPr>
      <w:r>
        <w:rPr>
          <w:noProof/>
        </w:rPr>
        <w:t>Windows Embedded 2009, 41</w:t>
      </w:r>
    </w:p>
    <w:p w:rsidR="00AC602F" w:rsidRDefault="00AC602F">
      <w:pPr>
        <w:pStyle w:val="Index1"/>
        <w:tabs>
          <w:tab w:val="right" w:pos="5030"/>
        </w:tabs>
        <w:rPr>
          <w:noProof/>
        </w:rPr>
      </w:pPr>
      <w:r>
        <w:rPr>
          <w:noProof/>
        </w:rPr>
        <w:t>Windows Embedded 8 e 8.1 Industry Retail, 41</w:t>
      </w:r>
    </w:p>
    <w:p w:rsidR="00AC602F" w:rsidRDefault="00AC602F">
      <w:pPr>
        <w:pStyle w:val="Index1"/>
        <w:tabs>
          <w:tab w:val="right" w:pos="5030"/>
        </w:tabs>
        <w:rPr>
          <w:noProof/>
        </w:rPr>
      </w:pPr>
      <w:r>
        <w:rPr>
          <w:noProof/>
        </w:rPr>
        <w:t>Windows Embedded 8 Standard, 42</w:t>
      </w:r>
    </w:p>
    <w:p w:rsidR="00AC602F" w:rsidRDefault="00AC602F">
      <w:pPr>
        <w:pStyle w:val="Index1"/>
        <w:tabs>
          <w:tab w:val="right" w:pos="5030"/>
        </w:tabs>
        <w:rPr>
          <w:noProof/>
        </w:rPr>
      </w:pPr>
      <w:r>
        <w:rPr>
          <w:noProof/>
        </w:rPr>
        <w:t>Windows Embedded 8 Standard Enterprise Kit (100 Pacotes), 40</w:t>
      </w:r>
    </w:p>
    <w:p w:rsidR="00AC602F" w:rsidRDefault="00AC602F">
      <w:pPr>
        <w:pStyle w:val="Index1"/>
        <w:tabs>
          <w:tab w:val="right" w:pos="5030"/>
        </w:tabs>
        <w:rPr>
          <w:noProof/>
        </w:rPr>
      </w:pPr>
      <w:r>
        <w:rPr>
          <w:noProof/>
        </w:rPr>
        <w:t>Windows Embedded 8.1 Industry, 40</w:t>
      </w:r>
    </w:p>
    <w:p w:rsidR="00AC602F" w:rsidRDefault="00AC602F">
      <w:pPr>
        <w:pStyle w:val="Index1"/>
        <w:tabs>
          <w:tab w:val="right" w:pos="5030"/>
        </w:tabs>
        <w:rPr>
          <w:noProof/>
        </w:rPr>
      </w:pPr>
      <w:r>
        <w:rPr>
          <w:noProof/>
        </w:rPr>
        <w:t>Windows Embedded 8/8.1 Industry Pro, 41</w:t>
      </w:r>
    </w:p>
    <w:p w:rsidR="00AC602F" w:rsidRDefault="00AC602F">
      <w:pPr>
        <w:pStyle w:val="Index1"/>
        <w:tabs>
          <w:tab w:val="right" w:pos="5030"/>
        </w:tabs>
        <w:rPr>
          <w:noProof/>
        </w:rPr>
      </w:pPr>
      <w:r>
        <w:rPr>
          <w:noProof/>
        </w:rPr>
        <w:t>Windows Embedded 8/8.1 Pro, 41</w:t>
      </w:r>
    </w:p>
    <w:p w:rsidR="00AC602F" w:rsidRDefault="00AC602F">
      <w:pPr>
        <w:pStyle w:val="Index1"/>
        <w:tabs>
          <w:tab w:val="right" w:pos="5030"/>
        </w:tabs>
        <w:rPr>
          <w:noProof/>
        </w:rPr>
      </w:pPr>
      <w:r>
        <w:rPr>
          <w:noProof/>
        </w:rPr>
        <w:t>Windows Embedded para Ponto de Serviço, 41</w:t>
      </w:r>
    </w:p>
    <w:p w:rsidR="00AC602F" w:rsidRDefault="00AC602F">
      <w:pPr>
        <w:pStyle w:val="Index1"/>
        <w:tabs>
          <w:tab w:val="right" w:pos="5030"/>
        </w:tabs>
        <w:rPr>
          <w:noProof/>
        </w:rPr>
      </w:pPr>
      <w:r>
        <w:rPr>
          <w:noProof/>
        </w:rPr>
        <w:t>Windows Embedded POSReady 2009, 41</w:t>
      </w:r>
    </w:p>
    <w:p w:rsidR="00AC602F" w:rsidRDefault="00AC602F">
      <w:pPr>
        <w:pStyle w:val="Index1"/>
        <w:tabs>
          <w:tab w:val="right" w:pos="5030"/>
        </w:tabs>
        <w:rPr>
          <w:noProof/>
        </w:rPr>
      </w:pPr>
      <w:r>
        <w:rPr>
          <w:noProof/>
        </w:rPr>
        <w:t>Windows Embedded POSReady 7, 41</w:t>
      </w:r>
    </w:p>
    <w:p w:rsidR="00AC602F" w:rsidRDefault="00AC602F">
      <w:pPr>
        <w:pStyle w:val="Index1"/>
        <w:tabs>
          <w:tab w:val="right" w:pos="5030"/>
        </w:tabs>
        <w:rPr>
          <w:noProof/>
        </w:rPr>
      </w:pPr>
      <w:r>
        <w:rPr>
          <w:noProof/>
        </w:rPr>
        <w:t>Windows Embedded POSReady 7 Pro, 41</w:t>
      </w:r>
    </w:p>
    <w:p w:rsidR="00AC602F" w:rsidRDefault="00AC602F">
      <w:pPr>
        <w:pStyle w:val="Index1"/>
        <w:tabs>
          <w:tab w:val="right" w:pos="5030"/>
        </w:tabs>
        <w:rPr>
          <w:noProof/>
        </w:rPr>
      </w:pPr>
      <w:r>
        <w:rPr>
          <w:noProof/>
        </w:rPr>
        <w:t>Windows Embedded Standard 7, 41</w:t>
      </w:r>
    </w:p>
    <w:p w:rsidR="00AC602F" w:rsidRDefault="00AC602F">
      <w:pPr>
        <w:pStyle w:val="Index1"/>
        <w:tabs>
          <w:tab w:val="right" w:pos="5030"/>
        </w:tabs>
        <w:rPr>
          <w:noProof/>
        </w:rPr>
      </w:pPr>
      <w:r>
        <w:rPr>
          <w:noProof/>
        </w:rPr>
        <w:t>Windows HPC Server, 49</w:t>
      </w:r>
    </w:p>
    <w:p w:rsidR="00AC602F" w:rsidRDefault="00AC602F">
      <w:pPr>
        <w:pStyle w:val="Index1"/>
        <w:tabs>
          <w:tab w:val="right" w:pos="5030"/>
        </w:tabs>
        <w:rPr>
          <w:noProof/>
        </w:rPr>
      </w:pPr>
      <w:r>
        <w:rPr>
          <w:noProof/>
        </w:rPr>
        <w:t>Windows MultiPoint Server 2011, 46</w:t>
      </w:r>
    </w:p>
    <w:p w:rsidR="00AC602F" w:rsidRDefault="00AC602F">
      <w:pPr>
        <w:pStyle w:val="Index1"/>
        <w:tabs>
          <w:tab w:val="right" w:pos="5030"/>
        </w:tabs>
        <w:rPr>
          <w:noProof/>
        </w:rPr>
      </w:pPr>
      <w:r>
        <w:rPr>
          <w:noProof/>
        </w:rPr>
        <w:t>Windows MultiPoint Server 2012 CAL, 46</w:t>
      </w:r>
    </w:p>
    <w:p w:rsidR="00AC602F" w:rsidRDefault="00AC602F">
      <w:pPr>
        <w:pStyle w:val="Index1"/>
        <w:tabs>
          <w:tab w:val="right" w:pos="5030"/>
        </w:tabs>
        <w:rPr>
          <w:noProof/>
        </w:rPr>
      </w:pPr>
      <w:r>
        <w:rPr>
          <w:noProof/>
        </w:rPr>
        <w:t>Windows MultiPoint Server 2012 CAL com Windows Server 2012 CAL, 46</w:t>
      </w:r>
    </w:p>
    <w:p w:rsidR="00AC602F" w:rsidRDefault="00AC602F">
      <w:pPr>
        <w:pStyle w:val="Index1"/>
        <w:tabs>
          <w:tab w:val="right" w:pos="5030"/>
        </w:tabs>
        <w:rPr>
          <w:noProof/>
        </w:rPr>
      </w:pPr>
      <w:r>
        <w:rPr>
          <w:noProof/>
        </w:rPr>
        <w:t>Windows MultiPoint Server 2012 Premium, 46</w:t>
      </w:r>
    </w:p>
    <w:p w:rsidR="00AC602F" w:rsidRDefault="00AC602F">
      <w:pPr>
        <w:pStyle w:val="Index1"/>
        <w:tabs>
          <w:tab w:val="right" w:pos="5030"/>
        </w:tabs>
        <w:rPr>
          <w:noProof/>
        </w:rPr>
      </w:pPr>
      <w:r>
        <w:rPr>
          <w:noProof/>
        </w:rPr>
        <w:t>Windows MultiPoint Server 2012 Premium com Windows MultiPoint Server 2012 CAL (5 clientes), 46</w:t>
      </w:r>
    </w:p>
    <w:p w:rsidR="00AC602F" w:rsidRDefault="00AC602F">
      <w:pPr>
        <w:pStyle w:val="Index1"/>
        <w:tabs>
          <w:tab w:val="right" w:pos="5030"/>
        </w:tabs>
        <w:rPr>
          <w:noProof/>
        </w:rPr>
      </w:pPr>
      <w:r>
        <w:rPr>
          <w:noProof/>
        </w:rPr>
        <w:t>Windows MultiPoint Server 2012 Premium com Windows MultiPoint Server 2012 CAL (5 clientes) com Windows Server 2012 CAL (5 clientes), 46</w:t>
      </w:r>
    </w:p>
    <w:p w:rsidR="00AC602F" w:rsidRDefault="00AC602F">
      <w:pPr>
        <w:pStyle w:val="Index1"/>
        <w:tabs>
          <w:tab w:val="right" w:pos="5030"/>
        </w:tabs>
        <w:rPr>
          <w:noProof/>
        </w:rPr>
      </w:pPr>
      <w:r>
        <w:rPr>
          <w:noProof/>
        </w:rPr>
        <w:t>Windows MultiPoint Server 2012 Standard, 46</w:t>
      </w:r>
    </w:p>
    <w:p w:rsidR="00AC602F" w:rsidRDefault="00AC602F">
      <w:pPr>
        <w:pStyle w:val="Index1"/>
        <w:tabs>
          <w:tab w:val="right" w:pos="5030"/>
        </w:tabs>
        <w:rPr>
          <w:noProof/>
        </w:rPr>
      </w:pPr>
      <w:r>
        <w:rPr>
          <w:noProof/>
        </w:rPr>
        <w:t>Windows MultiPoint Server Premium, 88</w:t>
      </w:r>
    </w:p>
    <w:p w:rsidR="00AC602F" w:rsidRDefault="00AC602F">
      <w:pPr>
        <w:pStyle w:val="Index1"/>
        <w:tabs>
          <w:tab w:val="right" w:pos="5030"/>
        </w:tabs>
        <w:rPr>
          <w:noProof/>
        </w:rPr>
      </w:pPr>
      <w:r>
        <w:rPr>
          <w:noProof/>
        </w:rPr>
        <w:t>Windows MultiPoint Server Standard, 88</w:t>
      </w:r>
    </w:p>
    <w:p w:rsidR="00AC602F" w:rsidRDefault="00AC602F">
      <w:pPr>
        <w:pStyle w:val="Index1"/>
        <w:tabs>
          <w:tab w:val="right" w:pos="5030"/>
        </w:tabs>
        <w:rPr>
          <w:noProof/>
        </w:rPr>
      </w:pPr>
      <w:r>
        <w:rPr>
          <w:noProof/>
        </w:rPr>
        <w:t>Windows Server, 88</w:t>
      </w:r>
    </w:p>
    <w:p w:rsidR="00AC602F" w:rsidRDefault="00AC602F">
      <w:pPr>
        <w:pStyle w:val="Index1"/>
        <w:tabs>
          <w:tab w:val="right" w:pos="5030"/>
        </w:tabs>
        <w:rPr>
          <w:noProof/>
        </w:rPr>
      </w:pPr>
      <w:r>
        <w:rPr>
          <w:noProof/>
        </w:rPr>
        <w:t>Windows Server 2008, 47</w:t>
      </w:r>
    </w:p>
    <w:p w:rsidR="00AC602F" w:rsidRDefault="00AC602F">
      <w:pPr>
        <w:pStyle w:val="Index1"/>
        <w:tabs>
          <w:tab w:val="right" w:pos="5030"/>
        </w:tabs>
        <w:rPr>
          <w:noProof/>
        </w:rPr>
      </w:pPr>
      <w:r>
        <w:rPr>
          <w:noProof/>
        </w:rPr>
        <w:t>Windows Server 2008 R2 Enterprise, 18</w:t>
      </w:r>
    </w:p>
    <w:p w:rsidR="00AC602F" w:rsidRDefault="00AC602F">
      <w:pPr>
        <w:pStyle w:val="Index1"/>
        <w:tabs>
          <w:tab w:val="right" w:pos="5030"/>
        </w:tabs>
        <w:rPr>
          <w:noProof/>
        </w:rPr>
      </w:pPr>
      <w:r>
        <w:rPr>
          <w:noProof/>
        </w:rPr>
        <w:t>Windows Server 2012, 47</w:t>
      </w:r>
    </w:p>
    <w:p w:rsidR="00AC602F" w:rsidRDefault="00AC602F">
      <w:pPr>
        <w:pStyle w:val="Index1"/>
        <w:tabs>
          <w:tab w:val="right" w:pos="5030"/>
        </w:tabs>
        <w:rPr>
          <w:noProof/>
        </w:rPr>
      </w:pPr>
      <w:r>
        <w:rPr>
          <w:noProof/>
        </w:rPr>
        <w:t>Windows Server 2012 CAL, 46</w:t>
      </w:r>
    </w:p>
    <w:p w:rsidR="00AC602F" w:rsidRDefault="00AC602F">
      <w:pPr>
        <w:pStyle w:val="Index1"/>
        <w:tabs>
          <w:tab w:val="right" w:pos="5030"/>
        </w:tabs>
        <w:rPr>
          <w:noProof/>
        </w:rPr>
      </w:pPr>
      <w:r>
        <w:rPr>
          <w:noProof/>
        </w:rPr>
        <w:t>Windows Server 2012 R2 Datacenter, 47</w:t>
      </w:r>
    </w:p>
    <w:p w:rsidR="00AC602F" w:rsidRDefault="00AC602F">
      <w:pPr>
        <w:pStyle w:val="Index1"/>
        <w:tabs>
          <w:tab w:val="right" w:pos="5030"/>
        </w:tabs>
        <w:rPr>
          <w:noProof/>
        </w:rPr>
      </w:pPr>
      <w:r>
        <w:rPr>
          <w:noProof/>
        </w:rPr>
        <w:t>Windows Server 2012 R2 Essentials, 47</w:t>
      </w:r>
    </w:p>
    <w:p w:rsidR="00AC602F" w:rsidRDefault="00AC602F">
      <w:pPr>
        <w:pStyle w:val="Index1"/>
        <w:tabs>
          <w:tab w:val="right" w:pos="5030"/>
        </w:tabs>
        <w:rPr>
          <w:noProof/>
        </w:rPr>
      </w:pPr>
      <w:r>
        <w:rPr>
          <w:noProof/>
        </w:rPr>
        <w:t>Windows Server 2012 R2 Standard, 47</w:t>
      </w:r>
    </w:p>
    <w:p w:rsidR="00AC602F" w:rsidRDefault="00AC602F">
      <w:pPr>
        <w:pStyle w:val="Index1"/>
        <w:tabs>
          <w:tab w:val="right" w:pos="5030"/>
        </w:tabs>
        <w:rPr>
          <w:noProof/>
        </w:rPr>
      </w:pPr>
      <w:r>
        <w:rPr>
          <w:noProof/>
        </w:rPr>
        <w:t>Windows Server Datacenter, 19, 82, 86, 88</w:t>
      </w:r>
    </w:p>
    <w:p w:rsidR="00AC602F" w:rsidRDefault="00AC602F">
      <w:pPr>
        <w:pStyle w:val="Index1"/>
        <w:tabs>
          <w:tab w:val="right" w:pos="5030"/>
        </w:tabs>
        <w:rPr>
          <w:noProof/>
        </w:rPr>
      </w:pPr>
      <w:r>
        <w:rPr>
          <w:noProof/>
        </w:rPr>
        <w:t>Windows Server Enterprise, 49, 82</w:t>
      </w:r>
    </w:p>
    <w:p w:rsidR="00AC602F" w:rsidRDefault="00AC602F">
      <w:pPr>
        <w:pStyle w:val="Index1"/>
        <w:tabs>
          <w:tab w:val="right" w:pos="5030"/>
        </w:tabs>
        <w:rPr>
          <w:noProof/>
        </w:rPr>
      </w:pPr>
      <w:r>
        <w:rPr>
          <w:noProof/>
        </w:rPr>
        <w:t>Windows Server HPC Edition, 49</w:t>
      </w:r>
    </w:p>
    <w:p w:rsidR="00AC602F" w:rsidRDefault="00AC602F">
      <w:pPr>
        <w:pStyle w:val="Index1"/>
        <w:tabs>
          <w:tab w:val="right" w:pos="5030"/>
        </w:tabs>
        <w:rPr>
          <w:noProof/>
        </w:rPr>
      </w:pPr>
      <w:r>
        <w:rPr>
          <w:noProof/>
        </w:rPr>
        <w:t>Windows Server para Sistemas Baseados em Itanium, 49</w:t>
      </w:r>
    </w:p>
    <w:p w:rsidR="00AC602F" w:rsidRDefault="00AC602F">
      <w:pPr>
        <w:pStyle w:val="Index1"/>
        <w:tabs>
          <w:tab w:val="right" w:pos="5030"/>
        </w:tabs>
        <w:rPr>
          <w:noProof/>
        </w:rPr>
      </w:pPr>
      <w:r>
        <w:rPr>
          <w:noProof/>
        </w:rPr>
        <w:t>Windows Server Standard, 18, 82, 86, 88</w:t>
      </w:r>
    </w:p>
    <w:p w:rsidR="00AC602F" w:rsidRDefault="00AC602F">
      <w:pPr>
        <w:pStyle w:val="Index1"/>
        <w:tabs>
          <w:tab w:val="right" w:pos="5030"/>
        </w:tabs>
        <w:rPr>
          <w:noProof/>
        </w:rPr>
      </w:pPr>
      <w:r>
        <w:rPr>
          <w:noProof/>
        </w:rPr>
        <w:t>Windows Server Standard, 19</w:t>
      </w:r>
    </w:p>
    <w:p w:rsidR="00AC602F" w:rsidRDefault="00AC602F">
      <w:pPr>
        <w:pStyle w:val="Index1"/>
        <w:tabs>
          <w:tab w:val="right" w:pos="5030"/>
        </w:tabs>
        <w:rPr>
          <w:noProof/>
        </w:rPr>
      </w:pPr>
      <w:r>
        <w:rPr>
          <w:noProof/>
        </w:rPr>
        <w:t>Windows Small Business Server, 49</w:t>
      </w:r>
    </w:p>
    <w:p w:rsidR="00AC602F" w:rsidRDefault="00AC602F">
      <w:pPr>
        <w:pStyle w:val="Index1"/>
        <w:tabs>
          <w:tab w:val="right" w:pos="5030"/>
        </w:tabs>
        <w:rPr>
          <w:noProof/>
        </w:rPr>
      </w:pPr>
      <w:r>
        <w:rPr>
          <w:noProof/>
        </w:rPr>
        <w:t>Windows Small Business Server 2008, 50</w:t>
      </w:r>
    </w:p>
    <w:p w:rsidR="00AC602F" w:rsidRDefault="00AC602F">
      <w:pPr>
        <w:pStyle w:val="Index1"/>
        <w:tabs>
          <w:tab w:val="right" w:pos="5030"/>
        </w:tabs>
        <w:rPr>
          <w:noProof/>
        </w:rPr>
      </w:pPr>
      <w:r>
        <w:rPr>
          <w:noProof/>
        </w:rPr>
        <w:t>Windows Small Business Server 2011 CAL Suite, 50</w:t>
      </w:r>
    </w:p>
    <w:p w:rsidR="00AC602F" w:rsidRDefault="00AC602F">
      <w:pPr>
        <w:pStyle w:val="Index1"/>
        <w:tabs>
          <w:tab w:val="right" w:pos="5030"/>
        </w:tabs>
        <w:rPr>
          <w:noProof/>
        </w:rPr>
      </w:pPr>
      <w:r>
        <w:rPr>
          <w:noProof/>
        </w:rPr>
        <w:t>Windows Small Business Server 2011 Premium Add-on CAL Suite, 50</w:t>
      </w:r>
    </w:p>
    <w:p w:rsidR="00AC602F" w:rsidRDefault="00AC602F">
      <w:pPr>
        <w:pStyle w:val="Index1"/>
        <w:tabs>
          <w:tab w:val="right" w:pos="5030"/>
        </w:tabs>
        <w:rPr>
          <w:noProof/>
        </w:rPr>
      </w:pPr>
      <w:r>
        <w:rPr>
          <w:noProof/>
        </w:rPr>
        <w:t>Windows Virtual Desktop Access, 40</w:t>
      </w:r>
    </w:p>
    <w:p w:rsidR="00AC602F" w:rsidRDefault="00AC602F">
      <w:pPr>
        <w:pStyle w:val="Index1"/>
        <w:tabs>
          <w:tab w:val="right" w:pos="5030"/>
        </w:tabs>
        <w:rPr>
          <w:noProof/>
        </w:rPr>
      </w:pPr>
      <w:r>
        <w:rPr>
          <w:noProof/>
        </w:rPr>
        <w:t>Windows Vista, 41</w:t>
      </w:r>
    </w:p>
    <w:p w:rsidR="00AC602F" w:rsidRDefault="00AC602F">
      <w:pPr>
        <w:pStyle w:val="Index1"/>
        <w:tabs>
          <w:tab w:val="right" w:pos="5030"/>
        </w:tabs>
        <w:rPr>
          <w:noProof/>
        </w:rPr>
      </w:pPr>
      <w:r>
        <w:rPr>
          <w:noProof/>
        </w:rPr>
        <w:t>Windows Vista Business for Embedded Systems, 41</w:t>
      </w:r>
    </w:p>
    <w:p w:rsidR="00AC602F" w:rsidRDefault="00AC602F">
      <w:pPr>
        <w:pStyle w:val="Index1"/>
        <w:tabs>
          <w:tab w:val="right" w:pos="5030"/>
        </w:tabs>
        <w:rPr>
          <w:noProof/>
        </w:rPr>
      </w:pPr>
      <w:r>
        <w:rPr>
          <w:noProof/>
        </w:rPr>
        <w:t>Windows Vista Ultimate for Embedded Systems, 41</w:t>
      </w:r>
    </w:p>
    <w:p w:rsidR="00AC602F" w:rsidRDefault="00AC602F">
      <w:pPr>
        <w:pStyle w:val="Index1"/>
        <w:tabs>
          <w:tab w:val="right" w:pos="5030"/>
        </w:tabs>
        <w:rPr>
          <w:noProof/>
        </w:rPr>
      </w:pPr>
      <w:r>
        <w:rPr>
          <w:noProof/>
        </w:rPr>
        <w:t>Windows XP, 41</w:t>
      </w:r>
    </w:p>
    <w:p w:rsidR="00AC602F" w:rsidRDefault="00AC602F">
      <w:pPr>
        <w:pStyle w:val="Index1"/>
        <w:tabs>
          <w:tab w:val="right" w:pos="5030"/>
        </w:tabs>
        <w:rPr>
          <w:noProof/>
        </w:rPr>
      </w:pPr>
      <w:r>
        <w:rPr>
          <w:noProof/>
        </w:rPr>
        <w:t>Windows XP Embedded, 41</w:t>
      </w:r>
    </w:p>
    <w:p w:rsidR="00AC602F" w:rsidRDefault="00AC602F">
      <w:pPr>
        <w:pStyle w:val="Index1"/>
        <w:tabs>
          <w:tab w:val="right" w:pos="5030"/>
        </w:tabs>
        <w:rPr>
          <w:noProof/>
        </w:rPr>
      </w:pPr>
      <w:r>
        <w:rPr>
          <w:noProof/>
        </w:rPr>
        <w:t>Windows XP Professional for Embedded Systems, 41</w:t>
      </w:r>
    </w:p>
    <w:p w:rsidR="00AC602F" w:rsidRDefault="00AC602F">
      <w:pPr>
        <w:pStyle w:val="Index1"/>
        <w:tabs>
          <w:tab w:val="right" w:pos="5030"/>
        </w:tabs>
        <w:rPr>
          <w:noProof/>
        </w:rPr>
      </w:pPr>
      <w:r>
        <w:rPr>
          <w:noProof/>
        </w:rPr>
        <w:t>Word 2016, 24</w:t>
      </w:r>
    </w:p>
    <w:p w:rsidR="00AC602F" w:rsidRDefault="00AC602F">
      <w:pPr>
        <w:pStyle w:val="Index1"/>
        <w:tabs>
          <w:tab w:val="right" w:pos="5030"/>
        </w:tabs>
        <w:rPr>
          <w:noProof/>
        </w:rPr>
      </w:pPr>
      <w:r>
        <w:rPr>
          <w:noProof/>
        </w:rPr>
        <w:t>Word 2016 para Mac, 25</w:t>
      </w:r>
    </w:p>
    <w:p w:rsidR="00AC602F" w:rsidRDefault="00AC602F">
      <w:pPr>
        <w:pStyle w:val="Index1"/>
        <w:tabs>
          <w:tab w:val="right" w:pos="5030"/>
        </w:tabs>
        <w:rPr>
          <w:noProof/>
        </w:rPr>
      </w:pPr>
      <w:r>
        <w:rPr>
          <w:noProof/>
        </w:rPr>
        <w:t>Work at Home for Mac 2016, 25</w:t>
      </w:r>
    </w:p>
    <w:p w:rsidR="00AC602F" w:rsidRDefault="00AC602F">
      <w:pPr>
        <w:pStyle w:val="Index1"/>
        <w:tabs>
          <w:tab w:val="right" w:pos="5030"/>
        </w:tabs>
        <w:rPr>
          <w:noProof/>
        </w:rPr>
      </w:pPr>
      <w:r>
        <w:rPr>
          <w:noProof/>
        </w:rPr>
        <w:t>Work at Home para Office Professional Plus 2016, 24</w:t>
      </w:r>
    </w:p>
    <w:p w:rsidR="00AC602F" w:rsidRDefault="00AC602F">
      <w:pPr>
        <w:pStyle w:val="Index1"/>
        <w:tabs>
          <w:tab w:val="right" w:pos="5030"/>
        </w:tabs>
        <w:rPr>
          <w:noProof/>
        </w:rPr>
      </w:pPr>
      <w:r>
        <w:rPr>
          <w:noProof/>
        </w:rPr>
        <w:t>Work at Home para Office Standard 2016, 24</w:t>
      </w:r>
    </w:p>
    <w:p w:rsidR="00AC602F" w:rsidRDefault="00AC602F">
      <w:pPr>
        <w:pStyle w:val="Index1"/>
        <w:tabs>
          <w:tab w:val="right" w:pos="5030"/>
        </w:tabs>
        <w:rPr>
          <w:noProof/>
        </w:rPr>
      </w:pPr>
      <w:r>
        <w:rPr>
          <w:noProof/>
        </w:rPr>
        <w:t>Yammer, 22</w:t>
      </w:r>
    </w:p>
    <w:p w:rsidR="00AC602F" w:rsidRDefault="00AC602F">
      <w:pPr>
        <w:pStyle w:val="Index1"/>
        <w:tabs>
          <w:tab w:val="right" w:pos="5030"/>
        </w:tabs>
        <w:rPr>
          <w:noProof/>
        </w:rPr>
      </w:pPr>
      <w:r>
        <w:rPr>
          <w:noProof/>
        </w:rPr>
        <w:t>Yammer Enterprise, 72</w:t>
      </w:r>
    </w:p>
    <w:p w:rsidR="00AC602F" w:rsidRDefault="00AC602F">
      <w:pPr>
        <w:pStyle w:val="ProductList-Body"/>
        <w:rPr>
          <w:noProof/>
        </w:rPr>
        <w:sectPr w:rsidR="00AC602F" w:rsidSect="00AC602F">
          <w:type w:val="continuous"/>
          <w:pgSz w:w="12240" w:h="15840" w:code="1"/>
          <w:pgMar w:top="1170" w:right="720" w:bottom="720" w:left="720" w:header="432" w:footer="288" w:gutter="0"/>
          <w:cols w:num="2" w:space="720"/>
        </w:sectPr>
      </w:pPr>
    </w:p>
    <w:p w:rsidR="00D87CDE" w:rsidRDefault="00AC602F">
      <w:pPr>
        <w:pStyle w:val="ProductList-Body"/>
        <w:sectPr w:rsidR="00D87CDE" w:rsidSect="00AC602F">
          <w:type w:val="continuous"/>
          <w:pgSz w:w="12240" w:h="15840" w:code="1"/>
          <w:pgMar w:top="1170" w:right="720" w:bottom="720" w:left="720" w:header="432" w:footer="288" w:gutter="0"/>
          <w:cols w:num="2" w:space="360"/>
        </w:sectPr>
      </w:pPr>
      <w:r>
        <w:fldChar w:fldCharType="end"/>
      </w:r>
    </w:p>
    <w:p w:rsidR="00D87CDE" w:rsidRDefault="00D87CDE">
      <w:pPr>
        <w:pStyle w:val="ProductList-Body"/>
      </w:pPr>
    </w:p>
    <w:sectPr w:rsidR="00D87CDE"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418C" w:rsidRDefault="0050418C" w:rsidP="007C7D4D">
      <w:pPr>
        <w:spacing w:after="0"/>
      </w:pPr>
      <w:r>
        <w:separator/>
      </w:r>
    </w:p>
    <w:p w:rsidR="0050418C" w:rsidRDefault="0050418C"/>
  </w:endnote>
  <w:endnote w:type="continuationSeparator" w:id="0">
    <w:p w:rsidR="0050418C" w:rsidRDefault="0050418C" w:rsidP="007C7D4D">
      <w:pPr>
        <w:spacing w:after="0"/>
      </w:pPr>
      <w:r>
        <w:continuationSeparator/>
      </w:r>
    </w:p>
    <w:p w:rsidR="0050418C" w:rsidRDefault="0050418C"/>
  </w:endnote>
  <w:endnote w:type="continuationNotice" w:id="1">
    <w:p w:rsidR="0050418C" w:rsidRDefault="0050418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93A" w:rsidRDefault="004C69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93A" w:rsidRDefault="004C69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93A" w:rsidRDefault="004C693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87CD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CDE" w:rsidRDefault="0050418C">
          <w:pPr>
            <w:pStyle w:val="PURFooterText"/>
            <w:jc w:val="center"/>
          </w:pPr>
          <w:hyperlink w:anchor="_Sec842">
            <w:r w:rsidR="00AC602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1">
            <w:r w:rsidR="00AC602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6">
            <w:r w:rsidR="00AC602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7">
            <w:r w:rsidR="00AC60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8">
            <w:r w:rsidR="00AC602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9">
            <w:r w:rsidR="00AC602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91">
            <w:r w:rsidR="00AC602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4">
            <w:r w:rsidR="00AC602F">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87CD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CDE" w:rsidRDefault="0050418C">
          <w:pPr>
            <w:pStyle w:val="PURFooterText"/>
            <w:jc w:val="center"/>
          </w:pPr>
          <w:hyperlink w:anchor="_Sec842">
            <w:r w:rsidR="00AC602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1">
            <w:r w:rsidR="00AC602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6">
            <w:r w:rsidR="00AC602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7">
            <w:r w:rsidR="00AC60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8">
            <w:r w:rsidR="00AC602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9">
            <w:r w:rsidR="00AC602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91">
            <w:r w:rsidR="00AC602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4">
            <w:r w:rsidR="00AC602F">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87CD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CDE" w:rsidRDefault="0050418C">
          <w:pPr>
            <w:pStyle w:val="PURFooterText"/>
            <w:jc w:val="center"/>
          </w:pPr>
          <w:hyperlink w:anchor="_Sec842">
            <w:r w:rsidR="00AC602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1">
            <w:r w:rsidR="00AC602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6">
            <w:r w:rsidR="00AC602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7">
            <w:r w:rsidR="00AC60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8">
            <w:r w:rsidR="00AC602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9">
            <w:r w:rsidR="00AC602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91">
            <w:r w:rsidR="00AC602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4">
            <w:r w:rsidR="00AC602F">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87C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2">
            <w:r w:rsidR="00AC602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CDE" w:rsidRDefault="0050418C">
          <w:pPr>
            <w:pStyle w:val="PURFooterText"/>
            <w:jc w:val="center"/>
          </w:pPr>
          <w:hyperlink w:anchor="_Sec531">
            <w:r w:rsidR="00AC602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6">
            <w:r w:rsidR="00AC602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7">
            <w:r w:rsidR="00AC60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8">
            <w:r w:rsidR="00AC602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9">
            <w:r w:rsidR="00AC602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91">
            <w:r w:rsidR="00AC602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4">
            <w:r w:rsidR="00AC602F">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87C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2">
            <w:r w:rsidR="00AC602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1">
            <w:r w:rsidR="00AC602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CDE" w:rsidRDefault="0050418C">
          <w:pPr>
            <w:pStyle w:val="PURFooterText"/>
            <w:jc w:val="center"/>
          </w:pPr>
          <w:hyperlink w:anchor="_Sec536">
            <w:r w:rsidR="00AC602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7">
            <w:r w:rsidR="00AC60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8">
            <w:r w:rsidR="00AC602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9">
            <w:r w:rsidR="00AC602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91">
            <w:r w:rsidR="00AC602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4">
            <w:r w:rsidR="00AC602F">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87C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2">
            <w:r w:rsidR="00AC602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1">
            <w:r w:rsidR="00AC602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6">
            <w:r w:rsidR="00AC602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CDE" w:rsidRDefault="0050418C">
          <w:pPr>
            <w:pStyle w:val="PURFooterText"/>
            <w:jc w:val="center"/>
          </w:pPr>
          <w:hyperlink w:anchor="_Sec547">
            <w:r w:rsidR="00AC60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8">
            <w:r w:rsidR="00AC602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9">
            <w:r w:rsidR="00AC602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91">
            <w:r w:rsidR="00AC602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4">
            <w:r w:rsidR="00AC602F">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87C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2">
            <w:r w:rsidR="00AC602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1">
            <w:r w:rsidR="00AC602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6">
            <w:r w:rsidR="00AC602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7">
            <w:r w:rsidR="00AC60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CDE" w:rsidRDefault="0050418C">
          <w:pPr>
            <w:pStyle w:val="PURFooterText"/>
            <w:jc w:val="center"/>
          </w:pPr>
          <w:hyperlink w:anchor="_Sec548">
            <w:r w:rsidR="00AC602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9">
            <w:r w:rsidR="00AC602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91">
            <w:r w:rsidR="00AC602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4">
            <w:r w:rsidR="00AC602F">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87C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2">
            <w:r w:rsidR="00AC602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1">
            <w:r w:rsidR="00AC602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6">
            <w:r w:rsidR="00AC602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7">
            <w:r w:rsidR="00AC60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8">
            <w:r w:rsidR="00AC602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CDE" w:rsidRDefault="0050418C">
          <w:pPr>
            <w:pStyle w:val="PURFooterText"/>
            <w:jc w:val="center"/>
          </w:pPr>
          <w:hyperlink w:anchor="_Sec549">
            <w:r w:rsidR="00AC602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91">
            <w:r w:rsidR="00AC602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4">
            <w:r w:rsidR="00AC602F">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87C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2">
            <w:r w:rsidR="00AC602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1">
            <w:r w:rsidR="00AC602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6">
            <w:r w:rsidR="00AC602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7">
            <w:r w:rsidR="00AC60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8">
            <w:r w:rsidR="00AC602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9">
            <w:r w:rsidR="00AC602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CDE" w:rsidRDefault="0050418C">
          <w:pPr>
            <w:pStyle w:val="PURFooterText"/>
            <w:jc w:val="center"/>
          </w:pPr>
          <w:hyperlink w:anchor="_Sec591">
            <w:r w:rsidR="00AC602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4">
            <w:r w:rsidR="00AC602F">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87C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2">
            <w:r w:rsidR="00AC602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1">
            <w:r w:rsidR="00AC602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6">
            <w:r w:rsidR="00AC602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7">
            <w:r w:rsidR="00AC60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8">
            <w:r w:rsidR="00AC602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9">
            <w:r w:rsidR="00AC602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91">
            <w:r w:rsidR="00AC602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CDE" w:rsidRDefault="0050418C">
          <w:pPr>
            <w:pStyle w:val="PURFooterText"/>
            <w:jc w:val="center"/>
          </w:pPr>
          <w:hyperlink w:anchor="_Sec844">
            <w:r w:rsidR="00AC602F">
              <w:rPr>
                <w:color w:val="00467F"/>
                <w:u w:val="single"/>
              </w:rPr>
              <w:t>Índice</w:t>
            </w:r>
          </w:hyperlink>
        </w:p>
      </w:tc>
    </w:tr>
  </w:tbl>
  <w:p w:rsidR="00D87CDE" w:rsidRDefault="00D87CD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87C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842">
            <w:r w:rsidR="00AC602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1">
            <w:r w:rsidR="00AC602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36">
            <w:r w:rsidR="00AC602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7">
            <w:r w:rsidR="00AC602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8">
            <w:r w:rsidR="00AC602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49">
            <w:r w:rsidR="00AC602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CDE" w:rsidRDefault="0050418C">
          <w:pPr>
            <w:pStyle w:val="PURFooterText"/>
            <w:jc w:val="center"/>
          </w:pPr>
          <w:hyperlink w:anchor="_Sec591">
            <w:r w:rsidR="00AC602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CDE" w:rsidRDefault="00D87C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CDE" w:rsidRDefault="0050418C">
          <w:pPr>
            <w:pStyle w:val="PURFooterText"/>
            <w:jc w:val="center"/>
          </w:pPr>
          <w:hyperlink w:anchor="_Sec844">
            <w:r w:rsidR="00AC602F">
              <w:rPr>
                <w:color w:val="00467F"/>
                <w:u w:val="single"/>
              </w:rPr>
              <w:t>Índice</w:t>
            </w:r>
          </w:hyperlink>
        </w:p>
      </w:tc>
    </w:tr>
  </w:tbl>
  <w:p w:rsidR="00D87CDE" w:rsidRDefault="00D87CD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418C" w:rsidRDefault="0050418C" w:rsidP="007C7D4D">
      <w:pPr>
        <w:spacing w:after="0"/>
      </w:pPr>
      <w:r>
        <w:separator/>
      </w:r>
    </w:p>
    <w:p w:rsidR="0050418C" w:rsidRDefault="0050418C"/>
  </w:footnote>
  <w:footnote w:type="continuationSeparator" w:id="0">
    <w:p w:rsidR="0050418C" w:rsidRDefault="0050418C" w:rsidP="007C7D4D">
      <w:pPr>
        <w:spacing w:after="0"/>
      </w:pPr>
      <w:r>
        <w:continuationSeparator/>
      </w:r>
    </w:p>
    <w:p w:rsidR="0050418C" w:rsidRDefault="0050418C"/>
  </w:footnote>
  <w:footnote w:type="continuationNotice" w:id="1">
    <w:p w:rsidR="0050418C" w:rsidRDefault="0050418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93A" w:rsidRDefault="004C69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93A" w:rsidRDefault="004C693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93A" w:rsidRDefault="004C693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D87CDE">
      <w:tc>
        <w:tcPr>
          <w:tcW w:w="8560" w:type="dxa"/>
        </w:tcPr>
        <w:p w:rsidR="00D87CDE" w:rsidRDefault="00AC602F">
          <w:pPr>
            <w:pStyle w:val="PURHeaderText"/>
          </w:pPr>
          <w:r>
            <w:t>Termos de Produto com Licenciamento em Volume da Microsoft (Português de Portugal, junho de 2016)</w:t>
          </w:r>
        </w:p>
      </w:tc>
      <w:tc>
        <w:tcPr>
          <w:tcW w:w="3680" w:type="dxa"/>
        </w:tcPr>
        <w:p w:rsidR="00D87CDE" w:rsidRDefault="00AC602F">
          <w:pPr>
            <w:pStyle w:val="PURHeaderText"/>
            <w:jc w:val="right"/>
          </w:pPr>
          <w:r>
            <w:fldChar w:fldCharType="begin"/>
          </w:r>
          <w:r>
            <w:instrText xml:space="preserve"> PAGE \* MERGEFORMAT </w:instrText>
          </w:r>
          <w:r>
            <w:fldChar w:fldCharType="separate"/>
          </w:r>
          <w:r w:rsidR="00B9349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D87CDE">
      <w:tc>
        <w:tcPr>
          <w:tcW w:w="8560" w:type="dxa"/>
        </w:tcPr>
        <w:p w:rsidR="00D87CDE" w:rsidRDefault="00AC602F">
          <w:pPr>
            <w:pStyle w:val="PURHeaderText"/>
          </w:pPr>
          <w:r>
            <w:t>Termos de Produto com Licenciamento em Volume da Microsoft (Português de Portugal, junho de 2016)</w:t>
          </w:r>
        </w:p>
      </w:tc>
      <w:tc>
        <w:tcPr>
          <w:tcW w:w="3680" w:type="dxa"/>
        </w:tcPr>
        <w:p w:rsidR="00D87CDE" w:rsidRDefault="00AC602F">
          <w:pPr>
            <w:pStyle w:val="PURHeaderText"/>
            <w:jc w:val="right"/>
          </w:pPr>
          <w:r>
            <w:fldChar w:fldCharType="begin"/>
          </w:r>
          <w:r>
            <w:instrText xml:space="preserve"> PAGE \* MERGEFORMAT </w:instrText>
          </w:r>
          <w:r>
            <w:fldChar w:fldCharType="separate"/>
          </w:r>
          <w:r w:rsidR="004C693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87CDE">
      <w:tc>
        <w:tcPr>
          <w:tcW w:w="8560" w:type="dxa"/>
        </w:tcPr>
        <w:p w:rsidR="00D87CDE" w:rsidRDefault="00AC602F">
          <w:pPr>
            <w:pStyle w:val="PURHeaderText"/>
          </w:pPr>
          <w:r>
            <w:t>Termos de Produto com Licenciamento em Volume da Microsoft (Português de Portugal, junho de 2016)</w:t>
          </w:r>
        </w:p>
      </w:tc>
      <w:tc>
        <w:tcPr>
          <w:tcW w:w="3680" w:type="dxa"/>
        </w:tcPr>
        <w:p w:rsidR="00D87CDE" w:rsidRDefault="00AC602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D87CDE">
      <w:tc>
        <w:tcPr>
          <w:tcW w:w="8560" w:type="dxa"/>
        </w:tcPr>
        <w:p w:rsidR="00D87CDE" w:rsidRDefault="00AC602F">
          <w:pPr>
            <w:pStyle w:val="PURHeaderText"/>
          </w:pPr>
          <w:r>
            <w:t>Termos de Produto com Licenciamento em Volume da Microsoft (Português de Portugal, junho de 2016)</w:t>
          </w:r>
        </w:p>
      </w:tc>
      <w:tc>
        <w:tcPr>
          <w:tcW w:w="3680" w:type="dxa"/>
        </w:tcPr>
        <w:p w:rsidR="00D87CDE" w:rsidRDefault="00AC602F">
          <w:pPr>
            <w:pStyle w:val="PURHeaderText"/>
            <w:jc w:val="right"/>
          </w:pPr>
          <w:r>
            <w:fldChar w:fldCharType="begin"/>
          </w:r>
          <w:r>
            <w:instrText xml:space="preserve"> PAGE \* MERGEFORMAT </w:instrText>
          </w:r>
          <w:r>
            <w:fldChar w:fldCharType="separate"/>
          </w:r>
          <w:r w:rsidR="00B9349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D87CDE">
      <w:tc>
        <w:tcPr>
          <w:tcW w:w="8560" w:type="dxa"/>
        </w:tcPr>
        <w:p w:rsidR="00D87CDE" w:rsidRDefault="00AC602F">
          <w:pPr>
            <w:pStyle w:val="PURHeaderText"/>
          </w:pPr>
          <w:r>
            <w:t>Termos de Produto com Licenciamento em Volume da Microsoft (Português de Portugal, junho de 2016)</w:t>
          </w:r>
        </w:p>
      </w:tc>
      <w:tc>
        <w:tcPr>
          <w:tcW w:w="3680" w:type="dxa"/>
        </w:tcPr>
        <w:p w:rsidR="00D87CDE" w:rsidRDefault="00AC602F">
          <w:pPr>
            <w:pStyle w:val="PURHeaderText"/>
            <w:jc w:val="right"/>
          </w:pPr>
          <w:r>
            <w:fldChar w:fldCharType="begin"/>
          </w:r>
          <w:r>
            <w:instrText xml:space="preserve"> PAGE \* MERGEFORMAT </w:instrText>
          </w:r>
          <w:r>
            <w:fldChar w:fldCharType="separate"/>
          </w:r>
          <w:r w:rsidR="004C693A">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D87CDE">
      <w:tc>
        <w:tcPr>
          <w:tcW w:w="8560" w:type="dxa"/>
        </w:tcPr>
        <w:p w:rsidR="00D87CDE" w:rsidRDefault="00AC602F">
          <w:pPr>
            <w:pStyle w:val="PURHeaderText"/>
          </w:pPr>
          <w:r>
            <w:t>Termos de Produto com Licenciamento em Volume da Microsoft (Português de Portugal, junho de 2016)</w:t>
          </w:r>
        </w:p>
      </w:tc>
      <w:tc>
        <w:tcPr>
          <w:tcW w:w="3680" w:type="dxa"/>
        </w:tcPr>
        <w:p w:rsidR="00D87CDE" w:rsidRDefault="00AC602F">
          <w:pPr>
            <w:pStyle w:val="PURHeaderText"/>
            <w:jc w:val="right"/>
          </w:pPr>
          <w:r>
            <w:fldChar w:fldCharType="begin"/>
          </w:r>
          <w:r>
            <w:instrText xml:space="preserve"> PAGE \* MERGEFORMAT </w:instrText>
          </w:r>
          <w:r>
            <w:fldChar w:fldCharType="separate"/>
          </w:r>
          <w:r w:rsidR="00B93494">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D87CDE">
      <w:tc>
        <w:tcPr>
          <w:tcW w:w="8560" w:type="dxa"/>
        </w:tcPr>
        <w:p w:rsidR="00D87CDE" w:rsidRDefault="00AC602F">
          <w:pPr>
            <w:pStyle w:val="PURHeaderText"/>
          </w:pPr>
          <w:r>
            <w:t>Termos de Produto com Licenciamento em Volume da Microsoft (Português de Portugal, junho de 2016)</w:t>
          </w:r>
        </w:p>
      </w:tc>
      <w:tc>
        <w:tcPr>
          <w:tcW w:w="3680" w:type="dxa"/>
        </w:tcPr>
        <w:p w:rsidR="00D87CDE" w:rsidRDefault="00AC602F">
          <w:pPr>
            <w:pStyle w:val="PURHeaderText"/>
            <w:jc w:val="right"/>
          </w:pPr>
          <w:r>
            <w:fldChar w:fldCharType="begin"/>
          </w:r>
          <w:r>
            <w:instrText xml:space="preserve"> PAGE \* MERGEFORMAT </w:instrText>
          </w:r>
          <w:r>
            <w:fldChar w:fldCharType="separate"/>
          </w:r>
          <w:r w:rsidR="004C693A">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D87CDE">
      <w:tc>
        <w:tcPr>
          <w:tcW w:w="8560" w:type="dxa"/>
        </w:tcPr>
        <w:p w:rsidR="00D87CDE" w:rsidRDefault="00AC602F">
          <w:pPr>
            <w:pStyle w:val="PURHeaderText"/>
          </w:pPr>
          <w:r>
            <w:t>Termos de Produto com Licenciamento em Volume da Microsoft (Português de Portugal, junho de 2016)</w:t>
          </w:r>
        </w:p>
      </w:tc>
      <w:tc>
        <w:tcPr>
          <w:tcW w:w="3680" w:type="dxa"/>
        </w:tcPr>
        <w:p w:rsidR="00D87CDE" w:rsidRDefault="00AC602F">
          <w:pPr>
            <w:pStyle w:val="PURHeaderText"/>
            <w:jc w:val="right"/>
          </w:pPr>
          <w:r>
            <w:fldChar w:fldCharType="begin"/>
          </w:r>
          <w:r>
            <w:instrText xml:space="preserve"> PAGE \* MERGEFORMAT </w:instrText>
          </w:r>
          <w:r>
            <w:fldChar w:fldCharType="separate"/>
          </w:r>
          <w:r w:rsidR="004C693A">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D87CDE">
      <w:tc>
        <w:tcPr>
          <w:tcW w:w="8560" w:type="dxa"/>
        </w:tcPr>
        <w:p w:rsidR="00D87CDE" w:rsidRDefault="00AC602F">
          <w:pPr>
            <w:pStyle w:val="PURHeaderText"/>
          </w:pPr>
          <w:r>
            <w:t>Termos de Produto com Licenciamento em Volume da Microsoft (Português de Portugal, junho de 2016)</w:t>
          </w:r>
        </w:p>
      </w:tc>
      <w:tc>
        <w:tcPr>
          <w:tcW w:w="3680" w:type="dxa"/>
        </w:tcPr>
        <w:p w:rsidR="00D87CDE" w:rsidRDefault="00AC602F">
          <w:pPr>
            <w:pStyle w:val="PURHeaderText"/>
            <w:jc w:val="right"/>
          </w:pPr>
          <w:r>
            <w:fldChar w:fldCharType="begin"/>
          </w:r>
          <w:r>
            <w:instrText xml:space="preserve"> PAGE \* MERGEFORMAT </w:instrText>
          </w:r>
          <w:r>
            <w:fldChar w:fldCharType="separate"/>
          </w:r>
          <w:r w:rsidR="004C693A">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D87CDE">
      <w:tc>
        <w:tcPr>
          <w:tcW w:w="8560" w:type="dxa"/>
        </w:tcPr>
        <w:p w:rsidR="00D87CDE" w:rsidRDefault="00AC602F">
          <w:pPr>
            <w:pStyle w:val="PURHeaderText"/>
          </w:pPr>
          <w:r>
            <w:t>Termos de Produto com Licenciamento em Volume da Microsoft (Português de Portugal, junho de 2016)</w:t>
          </w:r>
        </w:p>
      </w:tc>
      <w:tc>
        <w:tcPr>
          <w:tcW w:w="3680" w:type="dxa"/>
        </w:tcPr>
        <w:p w:rsidR="00D87CDE" w:rsidRDefault="00AC602F">
          <w:pPr>
            <w:pStyle w:val="PURHeaderText"/>
            <w:jc w:val="right"/>
          </w:pPr>
          <w:r>
            <w:fldChar w:fldCharType="begin"/>
          </w:r>
          <w:r>
            <w:instrText xml:space="preserve"> PAGE \* MERGEFORMAT </w:instrText>
          </w:r>
          <w:r>
            <w:fldChar w:fldCharType="separate"/>
          </w:r>
          <w:r w:rsidR="004C693A">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87CDE">
      <w:tc>
        <w:tcPr>
          <w:tcW w:w="8560" w:type="dxa"/>
        </w:tcPr>
        <w:p w:rsidR="00D87CDE" w:rsidRDefault="00AC602F">
          <w:pPr>
            <w:pStyle w:val="PURHeaderText"/>
          </w:pPr>
          <w:r>
            <w:t>Termos de Produto com Licenciamento em Volume da Microsoft (Português de Portugal, junho de 2016)</w:t>
          </w:r>
        </w:p>
      </w:tc>
      <w:tc>
        <w:tcPr>
          <w:tcW w:w="3680" w:type="dxa"/>
        </w:tcPr>
        <w:p w:rsidR="00D87CDE" w:rsidRDefault="00AC602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961F3"/>
    <w:multiLevelType w:val="multilevel"/>
    <w:tmpl w:val="F2DA5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500F62"/>
    <w:multiLevelType w:val="multilevel"/>
    <w:tmpl w:val="8578C3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326436"/>
    <w:multiLevelType w:val="multilevel"/>
    <w:tmpl w:val="6ACC7F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0566ED"/>
    <w:multiLevelType w:val="multilevel"/>
    <w:tmpl w:val="B20024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207797"/>
    <w:multiLevelType w:val="multilevel"/>
    <w:tmpl w:val="6F9E7B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420D38"/>
    <w:multiLevelType w:val="multilevel"/>
    <w:tmpl w:val="A2F65D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603A63"/>
    <w:multiLevelType w:val="multilevel"/>
    <w:tmpl w:val="6DFA8A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C91E70"/>
    <w:multiLevelType w:val="multilevel"/>
    <w:tmpl w:val="BE44BF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7952D1D"/>
    <w:multiLevelType w:val="multilevel"/>
    <w:tmpl w:val="F5DC8F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92D6C32"/>
    <w:multiLevelType w:val="multilevel"/>
    <w:tmpl w:val="2BDE70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AE67174"/>
    <w:multiLevelType w:val="multilevel"/>
    <w:tmpl w:val="7F904B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C015BDC"/>
    <w:multiLevelType w:val="multilevel"/>
    <w:tmpl w:val="828A5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B146A6"/>
    <w:multiLevelType w:val="multilevel"/>
    <w:tmpl w:val="0CD81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EE5D63"/>
    <w:multiLevelType w:val="multilevel"/>
    <w:tmpl w:val="C24C7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DD346F"/>
    <w:multiLevelType w:val="multilevel"/>
    <w:tmpl w:val="70968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4C4FD9"/>
    <w:multiLevelType w:val="multilevel"/>
    <w:tmpl w:val="06EE51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7A26E8"/>
    <w:multiLevelType w:val="multilevel"/>
    <w:tmpl w:val="9C6A1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644A52"/>
    <w:multiLevelType w:val="multilevel"/>
    <w:tmpl w:val="F29E5D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4D1218"/>
    <w:multiLevelType w:val="multilevel"/>
    <w:tmpl w:val="8E68954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1552737"/>
    <w:multiLevelType w:val="multilevel"/>
    <w:tmpl w:val="63CE2D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24505E5"/>
    <w:multiLevelType w:val="multilevel"/>
    <w:tmpl w:val="BCF231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D14330"/>
    <w:multiLevelType w:val="multilevel"/>
    <w:tmpl w:val="B546C0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5FE6202"/>
    <w:multiLevelType w:val="multilevel"/>
    <w:tmpl w:val="61A098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8372A81"/>
    <w:multiLevelType w:val="multilevel"/>
    <w:tmpl w:val="C186E3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A54E4D"/>
    <w:multiLevelType w:val="multilevel"/>
    <w:tmpl w:val="5E28BB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4450A1"/>
    <w:multiLevelType w:val="multilevel"/>
    <w:tmpl w:val="E76E05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EE162A2"/>
    <w:multiLevelType w:val="multilevel"/>
    <w:tmpl w:val="7D36E2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FF64A64"/>
    <w:multiLevelType w:val="multilevel"/>
    <w:tmpl w:val="331409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0E6E6B"/>
    <w:multiLevelType w:val="multilevel"/>
    <w:tmpl w:val="BCB886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5B4A32"/>
    <w:multiLevelType w:val="multilevel"/>
    <w:tmpl w:val="3050F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72133B"/>
    <w:multiLevelType w:val="multilevel"/>
    <w:tmpl w:val="00B8C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B47BF0"/>
    <w:multiLevelType w:val="multilevel"/>
    <w:tmpl w:val="D556E3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813E7D"/>
    <w:multiLevelType w:val="multilevel"/>
    <w:tmpl w:val="294CB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F53895"/>
    <w:multiLevelType w:val="multilevel"/>
    <w:tmpl w:val="D49CF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5C0049"/>
    <w:multiLevelType w:val="multilevel"/>
    <w:tmpl w:val="3CFAC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18C7780"/>
    <w:multiLevelType w:val="multilevel"/>
    <w:tmpl w:val="6532A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500FF4"/>
    <w:multiLevelType w:val="multilevel"/>
    <w:tmpl w:val="916090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1177C4"/>
    <w:multiLevelType w:val="multilevel"/>
    <w:tmpl w:val="F414492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9A72F9"/>
    <w:multiLevelType w:val="multilevel"/>
    <w:tmpl w:val="FEDAB0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F67E0B"/>
    <w:multiLevelType w:val="multilevel"/>
    <w:tmpl w:val="94AE5F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DA08C4"/>
    <w:multiLevelType w:val="multilevel"/>
    <w:tmpl w:val="E780A3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0D6128"/>
    <w:multiLevelType w:val="multilevel"/>
    <w:tmpl w:val="04DE21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DB4B56"/>
    <w:multiLevelType w:val="multilevel"/>
    <w:tmpl w:val="ED72BD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B11104C"/>
    <w:multiLevelType w:val="multilevel"/>
    <w:tmpl w:val="E6225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CA05A36"/>
    <w:multiLevelType w:val="multilevel"/>
    <w:tmpl w:val="180007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5B674B"/>
    <w:multiLevelType w:val="multilevel"/>
    <w:tmpl w:val="E076C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AE5478"/>
    <w:multiLevelType w:val="multilevel"/>
    <w:tmpl w:val="89E69F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7E5826"/>
    <w:multiLevelType w:val="multilevel"/>
    <w:tmpl w:val="CCEC04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5"/>
  </w:num>
  <w:num w:numId="3">
    <w:abstractNumId w:val="23"/>
  </w:num>
  <w:num w:numId="4">
    <w:abstractNumId w:val="10"/>
  </w:num>
  <w:num w:numId="5">
    <w:abstractNumId w:val="22"/>
  </w:num>
  <w:num w:numId="6">
    <w:abstractNumId w:val="38"/>
  </w:num>
  <w:num w:numId="7">
    <w:abstractNumId w:val="44"/>
  </w:num>
  <w:num w:numId="8">
    <w:abstractNumId w:val="7"/>
  </w:num>
  <w:num w:numId="9">
    <w:abstractNumId w:val="21"/>
  </w:num>
  <w:num w:numId="10">
    <w:abstractNumId w:val="19"/>
  </w:num>
  <w:num w:numId="11">
    <w:abstractNumId w:val="20"/>
  </w:num>
  <w:num w:numId="12">
    <w:abstractNumId w:val="5"/>
  </w:num>
  <w:num w:numId="13">
    <w:abstractNumId w:val="41"/>
  </w:num>
  <w:num w:numId="14">
    <w:abstractNumId w:val="29"/>
  </w:num>
  <w:num w:numId="15">
    <w:abstractNumId w:val="46"/>
  </w:num>
  <w:num w:numId="16">
    <w:abstractNumId w:val="15"/>
  </w:num>
  <w:num w:numId="17">
    <w:abstractNumId w:val="40"/>
  </w:num>
  <w:num w:numId="18">
    <w:abstractNumId w:val="42"/>
  </w:num>
  <w:num w:numId="19">
    <w:abstractNumId w:val="49"/>
  </w:num>
  <w:num w:numId="20">
    <w:abstractNumId w:val="12"/>
  </w:num>
  <w:num w:numId="21">
    <w:abstractNumId w:val="35"/>
  </w:num>
  <w:num w:numId="22">
    <w:abstractNumId w:val="18"/>
  </w:num>
  <w:num w:numId="23">
    <w:abstractNumId w:val="9"/>
  </w:num>
  <w:num w:numId="24">
    <w:abstractNumId w:val="32"/>
  </w:num>
  <w:num w:numId="25">
    <w:abstractNumId w:val="16"/>
  </w:num>
  <w:num w:numId="26">
    <w:abstractNumId w:val="3"/>
  </w:num>
  <w:num w:numId="27">
    <w:abstractNumId w:val="37"/>
  </w:num>
  <w:num w:numId="28">
    <w:abstractNumId w:val="17"/>
  </w:num>
  <w:num w:numId="29">
    <w:abstractNumId w:val="0"/>
  </w:num>
  <w:num w:numId="30">
    <w:abstractNumId w:val="8"/>
  </w:num>
  <w:num w:numId="31">
    <w:abstractNumId w:val="13"/>
  </w:num>
  <w:num w:numId="32">
    <w:abstractNumId w:val="39"/>
  </w:num>
  <w:num w:numId="33">
    <w:abstractNumId w:val="1"/>
  </w:num>
  <w:num w:numId="34">
    <w:abstractNumId w:val="33"/>
  </w:num>
  <w:num w:numId="35">
    <w:abstractNumId w:val="11"/>
  </w:num>
  <w:num w:numId="36">
    <w:abstractNumId w:val="26"/>
  </w:num>
  <w:num w:numId="37">
    <w:abstractNumId w:val="31"/>
  </w:num>
  <w:num w:numId="38">
    <w:abstractNumId w:val="47"/>
  </w:num>
  <w:num w:numId="39">
    <w:abstractNumId w:val="6"/>
  </w:num>
  <w:num w:numId="40">
    <w:abstractNumId w:val="14"/>
  </w:num>
  <w:num w:numId="41">
    <w:abstractNumId w:val="36"/>
  </w:num>
  <w:num w:numId="42">
    <w:abstractNumId w:val="30"/>
  </w:num>
  <w:num w:numId="43">
    <w:abstractNumId w:val="28"/>
  </w:num>
  <w:num w:numId="44">
    <w:abstractNumId w:val="43"/>
  </w:num>
  <w:num w:numId="45">
    <w:abstractNumId w:val="48"/>
  </w:num>
  <w:num w:numId="46">
    <w:abstractNumId w:val="45"/>
  </w:num>
  <w:num w:numId="47">
    <w:abstractNumId w:val="4"/>
  </w:num>
  <w:num w:numId="48">
    <w:abstractNumId w:val="24"/>
  </w:num>
  <w:num w:numId="49">
    <w:abstractNumId w:val="2"/>
  </w:num>
  <w:num w:numId="50">
    <w:abstractNumId w:val="3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db+TMS0li03X5tjXoeRAv97xzluOT6FCEyAoD0X1gPI1p01yeTaJjV6xW7+Im3P1yUY2tzkuYR5oV6TEFzkDQ==" w:salt="U7zy+VChwV7/9PXKS2M6w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4B91"/>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693A"/>
    <w:rsid w:val="004D0C73"/>
    <w:rsid w:val="004D45C9"/>
    <w:rsid w:val="004E48CC"/>
    <w:rsid w:val="004E5077"/>
    <w:rsid w:val="004E5C35"/>
    <w:rsid w:val="004E7559"/>
    <w:rsid w:val="004F0483"/>
    <w:rsid w:val="004F0724"/>
    <w:rsid w:val="004F62B3"/>
    <w:rsid w:val="0050264C"/>
    <w:rsid w:val="00503CCB"/>
    <w:rsid w:val="0050418C"/>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3D15"/>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602F"/>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3494"/>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7CDE"/>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C602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016C1D-EB3C-4C0B-9425-1BED8DFA8234}">
  <ds:schemaRefs>
    <ds:schemaRef ds:uri="http://schemas.openxmlformats.org/officeDocument/2006/bibliography"/>
  </ds:schemaRefs>
</ds:datastoreItem>
</file>

<file path=customXml/itemProps2.xml><?xml version="1.0" encoding="utf-8"?>
<ds:datastoreItem xmlns:ds="http://schemas.openxmlformats.org/officeDocument/2006/customXml" ds:itemID="{B0111777-1344-4F45-B0CE-908E8B2EBB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111888</Words>
  <Characters>637763</Characters>
  <Application>Microsoft Office Word</Application>
  <DocSecurity>8</DocSecurity>
  <Lines>5314</Lines>
  <Paragraphs>1496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2016-05-29T01:28:00Z</dcterms:created>
  <dcterms:modified xsi:type="dcterms:W3CDTF">2016-05-29T01:28:00Z</dcterms:modified>
</cp:coreProperties>
</file>