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Pr="008D6EF7" w:rsidRDefault="00BF75F8" w:rsidP="00BF75F8">
      <w:pPr>
        <w:pStyle w:val="ProductList-Body"/>
        <w:ind w:right="8640"/>
        <w:rPr>
          <w:rFonts w:asciiTheme="majorHAnsi" w:hAnsiTheme="majorHAnsi"/>
          <w:color w:val="FFFFFF" w:themeColor="background1"/>
          <w:sz w:val="6"/>
          <w:szCs w:val="6"/>
        </w:rPr>
      </w:pPr>
      <w:bookmarkStart w:id="0" w:name="CoverPage"/>
      <w:bookmarkStart w:id="1" w:name="_GoBack"/>
      <w:bookmarkEnd w:id="1"/>
    </w:p>
    <w:p w:rsidR="00BF75F8" w:rsidRPr="008D6EF7" w:rsidRDefault="00A95416" w:rsidP="00BF75F8">
      <w:pPr>
        <w:pStyle w:val="ProductList-Body"/>
        <w:ind w:right="8640"/>
        <w:rPr>
          <w:rFonts w:asciiTheme="majorHAnsi" w:hAnsiTheme="majorHAnsi"/>
          <w:color w:val="FFFFFF" w:themeColor="background1"/>
          <w:sz w:val="6"/>
          <w:szCs w:val="6"/>
        </w:rPr>
      </w:pPr>
      <w:r w:rsidRPr="008D6EF7">
        <w:rPr>
          <w:rFonts w:asciiTheme="majorHAnsi" w:hAnsiTheme="majorHAnsi"/>
          <w:color w:val="FFFFFF" w:themeColor="background1"/>
          <w:sz w:val="6"/>
          <w:szCs w:val="6"/>
        </w:rPr>
        <w:t xml:space="preserve"> </w:t>
      </w:r>
    </w:p>
    <w:p w:rsidR="00BF75F8" w:rsidRPr="008D6EF7" w:rsidRDefault="00A95416" w:rsidP="00BF75F8">
      <w:pPr>
        <w:pStyle w:val="ProductList-Body"/>
        <w:ind w:right="8640"/>
        <w:rPr>
          <w:rFonts w:asciiTheme="majorHAnsi" w:hAnsiTheme="majorHAnsi"/>
          <w:color w:val="FFFFFF" w:themeColor="background1"/>
          <w:sz w:val="32"/>
          <w:szCs w:val="32"/>
        </w:rPr>
      </w:pPr>
      <w:r w:rsidRPr="008D6EF7">
        <w:rPr>
          <w:rFonts w:asciiTheme="majorHAnsi" w:hAnsiTheme="majorHAnsi"/>
          <w:color w:val="FFFFFF" w:themeColor="background1"/>
          <w:sz w:val="32"/>
          <w:szCs w:val="32"/>
        </w:rPr>
        <w:tab/>
      </w:r>
    </w:p>
    <w:bookmarkEnd w:id="0"/>
    <w:p w:rsidR="00BF75F8" w:rsidRPr="008D6EF7" w:rsidRDefault="00A95416" w:rsidP="00BF75F8">
      <w:pPr>
        <w:pStyle w:val="ProductList-Body"/>
        <w:shd w:val="clear" w:color="auto" w:fill="00BCF2"/>
        <w:spacing w:after="900"/>
        <w:ind w:right="8640"/>
        <w:rPr>
          <w:rFonts w:asciiTheme="majorHAnsi" w:hAnsiTheme="majorHAnsi"/>
          <w:color w:val="FFFFFF" w:themeColor="background1"/>
          <w:sz w:val="32"/>
          <w:szCs w:val="32"/>
        </w:rPr>
      </w:pPr>
      <w:r w:rsidRPr="008D6EF7">
        <w:rPr>
          <w:rFonts w:asciiTheme="majorHAnsi" w:hAnsiTheme="majorHAnsi"/>
          <w:color w:val="FFFFFF" w:themeColor="background1"/>
          <w:sz w:val="32"/>
          <w:szCs w:val="32"/>
        </w:rPr>
        <w:tab/>
      </w:r>
    </w:p>
    <w:p w:rsidR="00BF75F8" w:rsidRPr="008D6EF7" w:rsidRDefault="00BF75F8" w:rsidP="00BF75F8">
      <w:pPr>
        <w:pStyle w:val="ProductList-Body"/>
        <w:shd w:val="clear" w:color="auto" w:fill="00BCF2"/>
        <w:ind w:right="8640"/>
        <w:rPr>
          <w:color w:val="FFFFFF" w:themeColor="background1"/>
        </w:rPr>
      </w:pPr>
    </w:p>
    <w:p w:rsidR="00BF75F8" w:rsidRPr="008D6EF7" w:rsidRDefault="00BF75F8" w:rsidP="00BF75F8">
      <w:pPr>
        <w:pStyle w:val="ProductList-Body"/>
        <w:shd w:val="clear" w:color="auto" w:fill="00BCF2"/>
        <w:ind w:right="8640"/>
        <w:rPr>
          <w:color w:val="FFFFFF" w:themeColor="background1"/>
        </w:rPr>
      </w:pPr>
    </w:p>
    <w:p w:rsidR="00BF75F8" w:rsidRPr="008D6EF7"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BF75F8" w:rsidRPr="008D6EF7" w:rsidRDefault="00A95416" w:rsidP="00156B18">
      <w:pPr>
        <w:pStyle w:val="ProductList-Body"/>
        <w:shd w:val="clear" w:color="auto" w:fill="0072C6"/>
        <w:tabs>
          <w:tab w:val="clear" w:pos="158"/>
          <w:tab w:val="left" w:pos="567"/>
        </w:tabs>
        <w:ind w:right="1800"/>
        <w:rPr>
          <w:rFonts w:asciiTheme="majorHAnsi" w:hAnsiTheme="majorHAnsi"/>
          <w:color w:val="FFFFFF" w:themeColor="background1"/>
          <w:sz w:val="60"/>
          <w:szCs w:val="60"/>
        </w:rPr>
      </w:pPr>
      <w:r w:rsidRPr="008D6EF7">
        <w:rPr>
          <w:rFonts w:ascii="Calibri Light" w:eastAsia="Calibri Light" w:hAnsi="Calibri Light" w:cs="Arial"/>
          <w:color w:val="FFFFFF"/>
          <w:sz w:val="72"/>
          <w:szCs w:val="72"/>
        </w:rPr>
        <w:tab/>
      </w:r>
      <w:r w:rsidRPr="008D6EF7">
        <w:rPr>
          <w:rFonts w:ascii="Calibri Light" w:eastAsia="Calibri Light" w:hAnsi="Calibri Light" w:cs="Arial"/>
          <w:color w:val="FFFFFF"/>
          <w:sz w:val="60"/>
          <w:szCs w:val="60"/>
        </w:rPr>
        <w:t>Serviços Profissionais da Microsoft</w:t>
      </w:r>
    </w:p>
    <w:p w:rsidR="00BF75F8" w:rsidRPr="008D6EF7" w:rsidRDefault="00A95416" w:rsidP="00156B18">
      <w:pPr>
        <w:pStyle w:val="ProductList-Body"/>
        <w:shd w:val="clear" w:color="auto" w:fill="0072C6"/>
        <w:tabs>
          <w:tab w:val="clear" w:pos="158"/>
          <w:tab w:val="left" w:pos="567"/>
        </w:tabs>
        <w:ind w:right="1800" w:firstLine="540"/>
        <w:rPr>
          <w:rFonts w:asciiTheme="majorHAnsi" w:hAnsiTheme="majorHAnsi"/>
          <w:color w:val="FFFFFF" w:themeColor="background1"/>
          <w:sz w:val="60"/>
          <w:szCs w:val="60"/>
        </w:rPr>
      </w:pPr>
      <w:r w:rsidRPr="008D6EF7">
        <w:rPr>
          <w:rFonts w:ascii="Calibri Light" w:eastAsia="Calibri Light" w:hAnsi="Calibri Light" w:cs="Arial"/>
          <w:color w:val="FFFFFF"/>
          <w:sz w:val="60"/>
          <w:szCs w:val="60"/>
        </w:rPr>
        <w:t>Adenda de Proteção de Dados</w:t>
      </w:r>
    </w:p>
    <w:p w:rsidR="00BF75F8" w:rsidRPr="008D6EF7" w:rsidRDefault="00A95416" w:rsidP="00372ADC">
      <w:pPr>
        <w:pStyle w:val="ProductList-Body"/>
        <w:shd w:val="clear" w:color="auto" w:fill="0072C6"/>
        <w:tabs>
          <w:tab w:val="clear" w:pos="158"/>
          <w:tab w:val="left" w:pos="567"/>
        </w:tabs>
        <w:ind w:right="1800"/>
        <w:rPr>
          <w:rFonts w:asciiTheme="majorHAnsi" w:hAnsiTheme="majorHAnsi"/>
          <w:color w:val="FFFFFF" w:themeColor="background1"/>
          <w:sz w:val="72"/>
          <w:szCs w:val="72"/>
        </w:rPr>
      </w:pPr>
      <w:r w:rsidRPr="008D6EF7">
        <w:rPr>
          <w:rFonts w:ascii="Calibri Light" w:eastAsia="Calibri Light" w:hAnsi="Calibri Light" w:cs="Arial"/>
          <w:color w:val="FFFFFF"/>
          <w:sz w:val="72"/>
          <w:szCs w:val="72"/>
        </w:rPr>
        <w:tab/>
      </w:r>
      <w:r w:rsidRPr="008D6EF7">
        <w:rPr>
          <w:rFonts w:ascii="Calibri Light" w:eastAsia="Calibri Light" w:hAnsi="Calibri Light" w:cs="Arial"/>
          <w:color w:val="FFFFFF"/>
          <w:sz w:val="48"/>
          <w:szCs w:val="48"/>
        </w:rPr>
        <w:t xml:space="preserve">1 de </w:t>
      </w:r>
      <w:r w:rsidR="00372ADC" w:rsidRPr="008D6EF7">
        <w:rPr>
          <w:rFonts w:ascii="Calibri Light" w:eastAsia="Calibri Light" w:hAnsi="Calibri Light" w:cs="Arial"/>
          <w:color w:val="FFFFFF"/>
          <w:sz w:val="48"/>
          <w:szCs w:val="48"/>
        </w:rPr>
        <w:t>janeiro</w:t>
      </w:r>
      <w:r w:rsidRPr="008D6EF7">
        <w:rPr>
          <w:rFonts w:ascii="Calibri Light" w:eastAsia="Calibri Light" w:hAnsi="Calibri Light" w:cs="Arial"/>
          <w:color w:val="FFFFFF"/>
          <w:sz w:val="48"/>
          <w:szCs w:val="48"/>
        </w:rPr>
        <w:t xml:space="preserve"> de 201</w:t>
      </w:r>
      <w:r w:rsidR="00372ADC" w:rsidRPr="008D6EF7">
        <w:rPr>
          <w:rFonts w:ascii="Calibri Light" w:eastAsia="Calibri Light" w:hAnsi="Calibri Light" w:cs="Arial"/>
          <w:color w:val="FFFFFF"/>
          <w:sz w:val="48"/>
          <w:szCs w:val="48"/>
        </w:rPr>
        <w:t>9</w:t>
      </w:r>
    </w:p>
    <w:p w:rsidR="00BF75F8" w:rsidRPr="008D6EF7"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BF75F8" w:rsidRPr="008D6EF7"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BF75F8" w:rsidRPr="008D6EF7" w:rsidRDefault="00BF75F8" w:rsidP="00BF75F8">
      <w:pPr>
        <w:pStyle w:val="ProductList-Body"/>
      </w:pPr>
    </w:p>
    <w:p w:rsidR="00BF75F8" w:rsidRPr="008D6EF7" w:rsidRDefault="00BF75F8" w:rsidP="00BF75F8">
      <w:pPr>
        <w:pStyle w:val="ProductList-Body"/>
      </w:pPr>
    </w:p>
    <w:p w:rsidR="00BF75F8" w:rsidRPr="008D6EF7" w:rsidRDefault="00BF75F8" w:rsidP="00BF75F8">
      <w:pPr>
        <w:pStyle w:val="ProductList-Body"/>
        <w:sectPr w:rsidR="00BF75F8" w:rsidRPr="008D6EF7"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8D6EF7" w:rsidRDefault="003C682E" w:rsidP="00BF75F8">
      <w:pPr>
        <w:rPr>
          <w:rFonts w:asciiTheme="majorHAnsi" w:hAnsiTheme="majorHAnsi"/>
          <w:b/>
          <w:sz w:val="40"/>
        </w:rPr>
      </w:pPr>
    </w:p>
    <w:p w:rsidR="00BF75F8" w:rsidRPr="008D6EF7" w:rsidRDefault="00A95416" w:rsidP="00BF75F8">
      <w:r w:rsidRPr="008D6EF7">
        <w:rPr>
          <w:rFonts w:ascii="Calibri Light" w:eastAsia="Calibri Light" w:hAnsi="Calibri Light" w:cs="Arial"/>
          <w:b/>
          <w:sz w:val="40"/>
          <w:szCs w:val="40"/>
        </w:rPr>
        <w:t>Introdução</w:t>
      </w:r>
    </w:p>
    <w:p w:rsidR="00BF75F8" w:rsidRPr="008D6EF7" w:rsidRDefault="00A95416" w:rsidP="00BF75F8">
      <w:pPr>
        <w:rPr>
          <w:rFonts w:cstheme="minorHAnsi"/>
          <w:sz w:val="18"/>
          <w:szCs w:val="18"/>
        </w:rPr>
      </w:pPr>
      <w:bookmarkStart w:id="2" w:name="_Hlk495664241"/>
      <w:r w:rsidRPr="008D6EF7">
        <w:rPr>
          <w:rFonts w:ascii="Calibri" w:eastAsia="Calibri" w:hAnsi="Calibri" w:cs="Calibri"/>
          <w:sz w:val="18"/>
          <w:szCs w:val="18"/>
        </w:rPr>
        <w:t>Esta Adenda sobre Proteção de Dados dos Serviços Profissionais da Microsoft (</w:t>
      </w:r>
      <w:r w:rsidR="00156B18" w:rsidRPr="008D6EF7">
        <w:rPr>
          <w:rFonts w:ascii="Calibri" w:eastAsia="Calibri" w:hAnsi="Calibri" w:cs="Calibri"/>
          <w:sz w:val="18"/>
          <w:szCs w:val="18"/>
        </w:rPr>
        <w:t>“</w:t>
      </w:r>
      <w:r w:rsidRPr="008D6EF7">
        <w:rPr>
          <w:rFonts w:ascii="Calibri" w:eastAsia="Calibri" w:hAnsi="Calibri" w:cs="Calibri"/>
          <w:sz w:val="18"/>
          <w:szCs w:val="18"/>
        </w:rPr>
        <w:t>Adenda</w:t>
      </w:r>
      <w:r w:rsidR="00156B18" w:rsidRPr="008D6EF7">
        <w:rPr>
          <w:rFonts w:ascii="Calibri" w:eastAsia="Calibri" w:hAnsi="Calibri" w:cs="Calibri"/>
          <w:sz w:val="18"/>
          <w:szCs w:val="18"/>
        </w:rPr>
        <w:t>”</w:t>
      </w:r>
      <w:r w:rsidRPr="008D6EF7">
        <w:rPr>
          <w:rFonts w:ascii="Calibri" w:eastAsia="Calibri" w:hAnsi="Calibri" w:cs="Calibri"/>
          <w:sz w:val="18"/>
          <w:szCs w:val="18"/>
        </w:rPr>
        <w:t xml:space="preserve">) só é aplicável aos Serviços Profissionais da Microsoft (definidos infra) previstos no Contrato e exclui os serviços ou cenários designados como piloto ou limitados. </w:t>
      </w:r>
      <w:bookmarkStart w:id="3" w:name="GeneralTerms"/>
      <w:bookmarkStart w:id="4" w:name="_Toc489605556"/>
      <w:bookmarkEnd w:id="2"/>
    </w:p>
    <w:p w:rsidR="00BF75F8" w:rsidRPr="008D6EF7" w:rsidRDefault="00A95416" w:rsidP="00BF75F8">
      <w:pPr>
        <w:rPr>
          <w:rFonts w:cstheme="minorHAnsi"/>
          <w:sz w:val="18"/>
          <w:szCs w:val="18"/>
        </w:rPr>
      </w:pPr>
      <w:bookmarkStart w:id="5" w:name="_Hlk496258096"/>
      <w:r w:rsidRPr="008D6EF7">
        <w:rPr>
          <w:rFonts w:ascii="Calibri" w:eastAsia="Calibri" w:hAnsi="Calibri" w:cs="Calibri"/>
          <w:sz w:val="18"/>
          <w:szCs w:val="18"/>
        </w:rPr>
        <w:t>A menos que acordado em contrário por escrito pelas Partes, esta Adenda não se sobrepõe a qualquer outro Contrato de Proteção de Dados celebrado pelas Partes; contudo, na ausência de outro acordo relativamente às disposições do RGPD (Regulamento Geral sobre a Proteção de Dados), prevalecem as disposições constantes no Anexo 3 – Regulamento Geral sobre a Proteção de Dados, da União Europeia.</w:t>
      </w:r>
    </w:p>
    <w:bookmarkEnd w:id="5"/>
    <w:p w:rsidR="00BF75F8" w:rsidRPr="008D6EF7" w:rsidRDefault="00A95416" w:rsidP="00BF75F8">
      <w:pPr>
        <w:pStyle w:val="ProductList-SectionHeading"/>
        <w:outlineLvl w:val="0"/>
      </w:pPr>
      <w:r w:rsidRPr="008D6EF7">
        <w:rPr>
          <w:rFonts w:ascii="Calibri Light" w:eastAsia="Calibri Light" w:hAnsi="Calibri Light" w:cs="Arial"/>
          <w:szCs w:val="40"/>
        </w:rPr>
        <w:t>Termos de Licenciamento Gerais</w:t>
      </w:r>
      <w:bookmarkEnd w:id="3"/>
      <w:bookmarkEnd w:id="4"/>
    </w:p>
    <w:p w:rsidR="00BF75F8" w:rsidRPr="008D6EF7" w:rsidRDefault="00A95416" w:rsidP="00BF75F8">
      <w:pPr>
        <w:pStyle w:val="ProductList-SubSubSectionHeading"/>
        <w:outlineLvl w:val="1"/>
      </w:pPr>
      <w:bookmarkStart w:id="6" w:name="_Toc489605557"/>
      <w:bookmarkStart w:id="7" w:name="Definitions"/>
      <w:r w:rsidRPr="008D6EF7">
        <w:rPr>
          <w:rFonts w:ascii="Calibri" w:eastAsia="Calibri" w:hAnsi="Calibri" w:cs="Arial"/>
          <w:szCs w:val="18"/>
        </w:rPr>
        <w:t>Definições</w:t>
      </w:r>
      <w:bookmarkEnd w:id="6"/>
      <w:bookmarkEnd w:id="7"/>
    </w:p>
    <w:p w:rsidR="00BF75F8" w:rsidRPr="008D6EF7" w:rsidRDefault="00A95416" w:rsidP="00BF75F8">
      <w:pPr>
        <w:pStyle w:val="ProductList-SubSubSectionHeading"/>
        <w:spacing w:after="120"/>
        <w:outlineLvl w:val="1"/>
        <w:rPr>
          <w:b w:val="0"/>
          <w:color w:val="auto"/>
        </w:rPr>
      </w:pPr>
      <w:r w:rsidRPr="008D6EF7">
        <w:rPr>
          <w:rFonts w:ascii="Calibri" w:eastAsia="Calibri" w:hAnsi="Calibri" w:cs="Arial"/>
          <w:b w:val="0"/>
          <w:color w:val="auto"/>
          <w:szCs w:val="18"/>
        </w:rPr>
        <w:t>Os termos em maiúsculas utilizados, mas não definidos, na presente Adenda terão os significados indicados no Contrato.</w:t>
      </w:r>
      <w:r w:rsidR="00156B18" w:rsidRPr="008D6EF7">
        <w:rPr>
          <w:rFonts w:ascii="Calibri" w:eastAsia="Calibri" w:hAnsi="Calibri" w:cs="Arial"/>
          <w:b w:val="0"/>
          <w:color w:val="auto"/>
          <w:szCs w:val="18"/>
        </w:rPr>
        <w:t xml:space="preserve"> </w:t>
      </w:r>
      <w:r w:rsidRPr="008D6EF7">
        <w:rPr>
          <w:rFonts w:ascii="Calibri" w:eastAsia="Calibri" w:hAnsi="Calibri" w:cs="Arial"/>
          <w:b w:val="0"/>
          <w:color w:val="auto"/>
          <w:szCs w:val="18"/>
        </w:rPr>
        <w:t>Os seguintes termos definidos são utilizados na presente Adenda:</w:t>
      </w:r>
    </w:p>
    <w:p w:rsidR="00BF75F8" w:rsidRPr="008D6EF7" w:rsidRDefault="00156B18" w:rsidP="00BF75F8">
      <w:pPr>
        <w:pStyle w:val="ProductList-Body"/>
        <w:spacing w:after="120"/>
      </w:pPr>
      <w:r w:rsidRPr="008D6EF7">
        <w:rPr>
          <w:rFonts w:ascii="Calibri" w:eastAsia="Calibri" w:hAnsi="Calibri" w:cs="Arial"/>
          <w:szCs w:val="18"/>
        </w:rPr>
        <w:t>“</w:t>
      </w:r>
      <w:r w:rsidR="00A95416" w:rsidRPr="008D6EF7">
        <w:rPr>
          <w:rFonts w:ascii="Calibri" w:eastAsia="Calibri" w:hAnsi="Calibri" w:cs="Arial"/>
          <w:szCs w:val="18"/>
        </w:rPr>
        <w:t>Contrato</w:t>
      </w:r>
      <w:r w:rsidRPr="008D6EF7">
        <w:rPr>
          <w:rFonts w:ascii="Calibri" w:eastAsia="Calibri" w:hAnsi="Calibri" w:cs="Arial"/>
          <w:szCs w:val="18"/>
        </w:rPr>
        <w:t>”</w:t>
      </w:r>
      <w:r w:rsidR="00A95416" w:rsidRPr="008D6EF7">
        <w:rPr>
          <w:rFonts w:ascii="Calibri" w:eastAsia="Calibri" w:hAnsi="Calibri" w:cs="Arial"/>
          <w:szCs w:val="18"/>
        </w:rPr>
        <w:t xml:space="preserve"> designa, consoante o caso, a Descrição dos Serviços e quaisquer Anexos, Declarações de Trabalho, Pedido de Serviços Empresariais e o Contrato Principal da Microsoft.</w:t>
      </w:r>
      <w:r w:rsidRPr="008D6EF7">
        <w:rPr>
          <w:rFonts w:ascii="Calibri" w:eastAsia="Calibri" w:hAnsi="Calibri" w:cs="Arial"/>
          <w:szCs w:val="18"/>
        </w:rPr>
        <w:t xml:space="preserve"> </w:t>
      </w:r>
    </w:p>
    <w:p w:rsidR="00BF75F8" w:rsidRPr="008D6EF7" w:rsidRDefault="00156B18" w:rsidP="00BF75F8">
      <w:pPr>
        <w:pStyle w:val="ProductList-Body"/>
        <w:spacing w:after="120"/>
      </w:pPr>
      <w:r w:rsidRPr="008D6EF7">
        <w:rPr>
          <w:rFonts w:ascii="Calibri" w:eastAsia="Calibri" w:hAnsi="Calibri" w:cs="Arial"/>
          <w:szCs w:val="18"/>
        </w:rPr>
        <w:t>“</w:t>
      </w:r>
      <w:r w:rsidR="00A95416" w:rsidRPr="008D6EF7">
        <w:rPr>
          <w:rFonts w:ascii="Calibri" w:eastAsia="Calibri" w:hAnsi="Calibri" w:cs="Arial"/>
          <w:szCs w:val="18"/>
        </w:rPr>
        <w:t>Serviços de Consultoria</w:t>
      </w:r>
      <w:r w:rsidRPr="008D6EF7">
        <w:rPr>
          <w:rFonts w:ascii="Calibri" w:eastAsia="Calibri" w:hAnsi="Calibri" w:cs="Arial"/>
          <w:szCs w:val="18"/>
        </w:rPr>
        <w:t>”</w:t>
      </w:r>
      <w:r w:rsidR="00A95416" w:rsidRPr="008D6EF7">
        <w:rPr>
          <w:rFonts w:ascii="Calibri" w:eastAsia="Calibri" w:hAnsi="Calibri" w:cs="Arial"/>
          <w:szCs w:val="18"/>
        </w:rPr>
        <w:t xml:space="preserve"> designa os serviços profissionais de planeamento, aconselhamento, orientação, migração de dados, implementação e desenvolvimento de software/soluções prestados pelos Serviços de Consultoria da Microsoft no âmbito de um Pedido de Serviços Empresariais.</w:t>
      </w:r>
      <w:r w:rsidRPr="008D6EF7">
        <w:rPr>
          <w:rFonts w:ascii="Calibri" w:eastAsia="Calibri" w:hAnsi="Calibri" w:cs="Arial"/>
          <w:szCs w:val="18"/>
        </w:rPr>
        <w:t xml:space="preserve"> </w:t>
      </w:r>
    </w:p>
    <w:p w:rsidR="00217974" w:rsidRPr="008D6EF7" w:rsidRDefault="00156B18" w:rsidP="00BF75F8">
      <w:pPr>
        <w:pStyle w:val="ProductList-Body"/>
        <w:spacing w:after="120"/>
      </w:pPr>
      <w:r w:rsidRPr="008D6EF7">
        <w:rPr>
          <w:rFonts w:ascii="Calibri" w:eastAsia="Calibri" w:hAnsi="Calibri" w:cs="Arial"/>
          <w:szCs w:val="18"/>
        </w:rPr>
        <w:t>“</w:t>
      </w:r>
      <w:r w:rsidR="00A95416" w:rsidRPr="008D6EF7">
        <w:rPr>
          <w:rFonts w:ascii="Calibri" w:eastAsia="Calibri" w:hAnsi="Calibri" w:cs="Arial"/>
          <w:szCs w:val="18"/>
        </w:rPr>
        <w:t>Regulamento Geral sobre a Proteção de Dados</w:t>
      </w:r>
      <w:r w:rsidRPr="008D6EF7">
        <w:rPr>
          <w:rFonts w:ascii="Calibri" w:eastAsia="Calibri" w:hAnsi="Calibri" w:cs="Arial"/>
          <w:szCs w:val="18"/>
        </w:rPr>
        <w:t>”</w:t>
      </w:r>
      <w:r w:rsidR="00A95416" w:rsidRPr="008D6EF7">
        <w:rPr>
          <w:rFonts w:ascii="Calibri" w:eastAsia="Calibri" w:hAnsi="Calibri" w:cs="Arial"/>
          <w:szCs w:val="18"/>
        </w:rPr>
        <w:t xml:space="preserve"> ou </w:t>
      </w:r>
      <w:r w:rsidRPr="008D6EF7">
        <w:rPr>
          <w:rFonts w:ascii="Calibri" w:eastAsia="Calibri" w:hAnsi="Calibri" w:cs="Arial"/>
          <w:szCs w:val="18"/>
        </w:rPr>
        <w:t>“</w:t>
      </w:r>
      <w:r w:rsidR="00A95416" w:rsidRPr="008D6EF7">
        <w:rPr>
          <w:rFonts w:ascii="Calibri" w:eastAsia="Calibri" w:hAnsi="Calibri" w:cs="Arial"/>
          <w:szCs w:val="18"/>
        </w:rPr>
        <w:t>RGPD</w:t>
      </w:r>
      <w:r w:rsidRPr="008D6EF7">
        <w:rPr>
          <w:rFonts w:ascii="Calibri" w:eastAsia="Calibri" w:hAnsi="Calibri" w:cs="Arial"/>
          <w:szCs w:val="18"/>
        </w:rPr>
        <w:t>”</w:t>
      </w:r>
      <w:r w:rsidR="00A95416" w:rsidRPr="008D6EF7">
        <w:rPr>
          <w:rFonts w:ascii="Calibri" w:eastAsia="Calibri" w:hAnsi="Calibri" w:cs="Arial"/>
          <w:szCs w:val="18"/>
        </w:rPr>
        <w:t xml:space="preserve"> refere-se ao Regulamento (UE) n.º 2016/679 do Parlamento Europeu e do Conselho, de 27 de abril de 2016, relativo à proteção das pessoas singulares no que diz respeito ao tratamento de dados pessoais e à livre circulação desses dados e que revoga a Diretiva 95/46/CE.</w:t>
      </w:r>
    </w:p>
    <w:p w:rsidR="00BF75F8" w:rsidRPr="008D6EF7" w:rsidRDefault="00156B18" w:rsidP="00BF75F8">
      <w:pPr>
        <w:pStyle w:val="ProductList-Body"/>
        <w:spacing w:after="120"/>
        <w:rPr>
          <w:spacing w:val="-2"/>
        </w:rPr>
      </w:pPr>
      <w:r w:rsidRPr="008D6EF7">
        <w:rPr>
          <w:rFonts w:ascii="Calibri" w:eastAsia="Calibri" w:hAnsi="Calibri" w:cs="Arial"/>
          <w:spacing w:val="-2"/>
          <w:szCs w:val="18"/>
        </w:rPr>
        <w:t>“</w:t>
      </w:r>
      <w:r w:rsidR="00A95416" w:rsidRPr="008D6EF7">
        <w:rPr>
          <w:rFonts w:ascii="Calibri" w:eastAsia="Calibri" w:hAnsi="Calibri" w:cs="Arial"/>
          <w:spacing w:val="-2"/>
          <w:szCs w:val="18"/>
        </w:rPr>
        <w:t>Disposições do RGPD</w:t>
      </w:r>
      <w:r w:rsidRPr="008D6EF7">
        <w:rPr>
          <w:rFonts w:ascii="Calibri" w:eastAsia="Calibri" w:hAnsi="Calibri" w:cs="Arial"/>
          <w:spacing w:val="-2"/>
          <w:szCs w:val="18"/>
        </w:rPr>
        <w:t>”</w:t>
      </w:r>
      <w:r w:rsidR="00A95416" w:rsidRPr="008D6EF7">
        <w:rPr>
          <w:rFonts w:ascii="Calibri" w:eastAsia="Calibri" w:hAnsi="Calibri" w:cs="Arial"/>
          <w:spacing w:val="-2"/>
          <w:szCs w:val="18"/>
        </w:rPr>
        <w:t xml:space="preserve"> refere-se às disposições constantes no Anexo 3, ao abrigo das quais a Microsoft assume compromissos vinculativos no que diz respeito ao seu tratamento de Dados Pessoais, conforme exigido no Artigo 28.º do Regulamento Geral sobre a Proteção de Dados, da União Europeia.</w:t>
      </w:r>
    </w:p>
    <w:p w:rsidR="00BF75F8" w:rsidRPr="008D6EF7" w:rsidRDefault="00156B18" w:rsidP="00BF75F8">
      <w:pPr>
        <w:pStyle w:val="ProductList-Body"/>
        <w:spacing w:after="120"/>
      </w:pPr>
      <w:r w:rsidRPr="008D6EF7">
        <w:rPr>
          <w:rFonts w:ascii="Calibri" w:eastAsia="Calibri" w:hAnsi="Calibri" w:cs="Arial"/>
          <w:szCs w:val="18"/>
        </w:rPr>
        <w:t>“</w:t>
      </w:r>
      <w:r w:rsidR="00A95416" w:rsidRPr="008D6EF7">
        <w:rPr>
          <w:rFonts w:ascii="Calibri" w:eastAsia="Calibri" w:hAnsi="Calibri" w:cs="Arial"/>
          <w:szCs w:val="18"/>
        </w:rPr>
        <w:t>Dados Pessoais</w:t>
      </w:r>
      <w:r w:rsidRPr="008D6EF7">
        <w:rPr>
          <w:rFonts w:ascii="Calibri" w:eastAsia="Calibri" w:hAnsi="Calibri" w:cs="Arial"/>
          <w:szCs w:val="18"/>
        </w:rPr>
        <w:t>”</w:t>
      </w:r>
      <w:r w:rsidR="00A95416" w:rsidRPr="008D6EF7">
        <w:rPr>
          <w:rFonts w:ascii="Calibri" w:eastAsia="Calibri" w:hAnsi="Calibri" w:cs="Arial"/>
          <w:szCs w:val="18"/>
        </w:rPr>
        <w:t xml:space="preserve"> refere-se 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a um identificador por via eletrónica ou a um ou mais elementos específicos da identidade física, fisiológica, genética, mental, económica, cultural ou social dessa pessoa singular.</w:t>
      </w:r>
    </w:p>
    <w:p w:rsidR="00BF75F8" w:rsidRPr="008D6EF7" w:rsidRDefault="00156B18" w:rsidP="006C4E0B">
      <w:pPr>
        <w:pStyle w:val="ProductList-Body"/>
        <w:spacing w:after="120"/>
      </w:pPr>
      <w:r w:rsidRPr="008D6EF7">
        <w:rPr>
          <w:rFonts w:ascii="Calibri" w:eastAsia="Calibri" w:hAnsi="Calibri" w:cs="Arial"/>
          <w:szCs w:val="18"/>
        </w:rPr>
        <w:t>“</w:t>
      </w:r>
      <w:r w:rsidR="00A95416" w:rsidRPr="008D6EF7">
        <w:rPr>
          <w:rFonts w:ascii="Calibri" w:eastAsia="Calibri" w:hAnsi="Calibri" w:cs="Arial"/>
          <w:szCs w:val="18"/>
        </w:rPr>
        <w:t>Serviços Profissionais</w:t>
      </w:r>
      <w:r w:rsidRPr="008D6EF7">
        <w:rPr>
          <w:rFonts w:ascii="Calibri" w:eastAsia="Calibri" w:hAnsi="Calibri" w:cs="Arial"/>
          <w:szCs w:val="18"/>
        </w:rPr>
        <w:t>”</w:t>
      </w:r>
      <w:r w:rsidR="00A95416" w:rsidRPr="008D6EF7">
        <w:rPr>
          <w:rFonts w:ascii="Calibri" w:eastAsia="Calibri" w:hAnsi="Calibri" w:cs="Arial"/>
          <w:szCs w:val="18"/>
        </w:rPr>
        <w:t xml:space="preserve"> refere-se aos Serviços de Suporte e aos Serviços de Consultoria. Os Serviços Profissionais não incluem os Serviços Online da Microsoft. </w:t>
      </w:r>
    </w:p>
    <w:p w:rsidR="00BF75F8" w:rsidRPr="008D6EF7" w:rsidRDefault="00156B18" w:rsidP="00BF75F8">
      <w:pPr>
        <w:pStyle w:val="ProductList-Body"/>
        <w:spacing w:after="120"/>
      </w:pPr>
      <w:r w:rsidRPr="008D6EF7">
        <w:rPr>
          <w:rFonts w:ascii="Calibri" w:eastAsia="Calibri" w:hAnsi="Calibri" w:cs="Arial"/>
          <w:szCs w:val="18"/>
        </w:rPr>
        <w:t>“</w:t>
      </w:r>
      <w:r w:rsidR="00A95416" w:rsidRPr="008D6EF7">
        <w:rPr>
          <w:rFonts w:ascii="Calibri" w:eastAsia="Calibri" w:hAnsi="Calibri" w:cs="Arial"/>
          <w:szCs w:val="18"/>
        </w:rPr>
        <w:t>Cláusulas Contratuais-Tipo</w:t>
      </w:r>
      <w:r w:rsidRPr="008D6EF7">
        <w:rPr>
          <w:rFonts w:ascii="Calibri" w:eastAsia="Calibri" w:hAnsi="Calibri" w:cs="Arial"/>
          <w:szCs w:val="18"/>
        </w:rPr>
        <w:t>”</w:t>
      </w:r>
      <w:r w:rsidR="00A95416" w:rsidRPr="008D6EF7">
        <w:rPr>
          <w:rFonts w:ascii="Calibri" w:eastAsia="Calibri" w:hAnsi="Calibri" w:cs="Arial"/>
          <w:szCs w:val="18"/>
        </w:rPr>
        <w:t xml:space="preserve"> significa as cláusulas-tipo sobre proteção de dados no que diz respeito à transferência de dados pessoais para subcontratantes estabelecidos em países terceiros que não garantem um nível adequado de proteção dos dados pessoais, conforme descrito no Artigo 46.º do RGPD. As Cláusulas Contratuais-Tipo encontram-se nos Anexos 1 e 2.</w:t>
      </w:r>
    </w:p>
    <w:p w:rsidR="00BF75F8" w:rsidRPr="008D6EF7" w:rsidRDefault="00156B18" w:rsidP="00BF75F8">
      <w:pPr>
        <w:pStyle w:val="ProductList-Body"/>
        <w:spacing w:after="120"/>
      </w:pPr>
      <w:r w:rsidRPr="008D6EF7">
        <w:rPr>
          <w:rFonts w:ascii="Calibri" w:eastAsia="Calibri" w:hAnsi="Calibri" w:cs="Arial"/>
          <w:szCs w:val="18"/>
        </w:rPr>
        <w:t>“</w:t>
      </w:r>
      <w:r w:rsidR="00A95416" w:rsidRPr="008D6EF7">
        <w:rPr>
          <w:rFonts w:ascii="Calibri" w:eastAsia="Calibri" w:hAnsi="Calibri" w:cs="Arial"/>
          <w:szCs w:val="18"/>
        </w:rPr>
        <w:t>Dados de Suporte e Consultoria</w:t>
      </w:r>
      <w:r w:rsidRPr="008D6EF7">
        <w:rPr>
          <w:rFonts w:ascii="Calibri" w:eastAsia="Calibri" w:hAnsi="Calibri" w:cs="Arial"/>
          <w:szCs w:val="18"/>
        </w:rPr>
        <w:t>”</w:t>
      </w:r>
      <w:r w:rsidR="00A95416" w:rsidRPr="008D6EF7">
        <w:rPr>
          <w:rFonts w:ascii="Calibri" w:eastAsia="Calibri" w:hAnsi="Calibri" w:cs="Arial"/>
          <w:szCs w:val="18"/>
        </w:rPr>
        <w:t xml:space="preserve"> designa todos os dados, incluindo todo o texto, som, vídeo, ficheiros de imagem ou software, que são fornecidos à Microsoft pelo Cliente ou em nome deste (ou que o Cliente autorize a Microsoft a obter a partir de um Serviço Online) através de um compromisso com a Microsoft para Serviços Profissionais abrangidos por esta Adenda. </w:t>
      </w:r>
    </w:p>
    <w:p w:rsidR="00BF75F8" w:rsidRPr="008D6EF7" w:rsidRDefault="00156B18" w:rsidP="00217974">
      <w:pPr>
        <w:pStyle w:val="ProductList-Body"/>
        <w:spacing w:after="120"/>
      </w:pPr>
      <w:r w:rsidRPr="008D6EF7">
        <w:rPr>
          <w:rFonts w:ascii="Calibri" w:eastAsia="Calibri" w:hAnsi="Calibri" w:cs="Arial"/>
          <w:szCs w:val="18"/>
        </w:rPr>
        <w:t>“</w:t>
      </w:r>
      <w:r w:rsidR="00A95416" w:rsidRPr="008D6EF7">
        <w:rPr>
          <w:rFonts w:ascii="Calibri" w:eastAsia="Calibri" w:hAnsi="Calibri" w:cs="Arial"/>
          <w:szCs w:val="18"/>
        </w:rPr>
        <w:t>Serviços de Suporte</w:t>
      </w:r>
      <w:r w:rsidRPr="008D6EF7">
        <w:rPr>
          <w:rFonts w:ascii="Calibri" w:eastAsia="Calibri" w:hAnsi="Calibri" w:cs="Arial"/>
          <w:szCs w:val="18"/>
        </w:rPr>
        <w:t>”</w:t>
      </w:r>
      <w:r w:rsidR="00A95416" w:rsidRPr="008D6EF7">
        <w:rPr>
          <w:rFonts w:ascii="Calibri" w:eastAsia="Calibri" w:hAnsi="Calibri" w:cs="Arial"/>
          <w:szCs w:val="18"/>
        </w:rPr>
        <w:t xml:space="preserve"> designa os Serviços de Suporte Unificado ou Premier da Microsoft, tal como descrito na Descrição dos Serviços ou na Descrição dos Serviços de Suporte e Consultoria, que consistem nos serviços profissionais de suporte de software técnico prestados pela Microsoft e que ajudam os clientes a identificarem e resolverem problemas no respetivo ambiente das tecnologias de informação.</w:t>
      </w:r>
    </w:p>
    <w:p w:rsidR="00217974" w:rsidRPr="008D6EF7" w:rsidRDefault="00A95416" w:rsidP="00217974">
      <w:pPr>
        <w:pStyle w:val="ProductList-Body"/>
        <w:spacing w:after="120"/>
      </w:pPr>
      <w:r w:rsidRPr="008D6EF7">
        <w:rPr>
          <w:rFonts w:ascii="Calibri" w:eastAsia="Calibri" w:hAnsi="Calibri" w:cs="Arial"/>
          <w:szCs w:val="18"/>
        </w:rPr>
        <w:t xml:space="preserve">Os termos </w:t>
      </w:r>
      <w:r w:rsidR="00156B18" w:rsidRPr="008D6EF7">
        <w:rPr>
          <w:rFonts w:ascii="Calibri" w:eastAsia="Calibri" w:hAnsi="Calibri" w:cs="Arial"/>
          <w:szCs w:val="18"/>
        </w:rPr>
        <w:t>“</w:t>
      </w:r>
      <w:r w:rsidRPr="008D6EF7">
        <w:rPr>
          <w:rFonts w:ascii="Calibri" w:eastAsia="Calibri" w:hAnsi="Calibri" w:cs="Arial"/>
          <w:szCs w:val="18"/>
        </w:rPr>
        <w:t>titular dos dados</w:t>
      </w:r>
      <w:r w:rsidR="00156B18" w:rsidRPr="008D6EF7">
        <w:rPr>
          <w:rFonts w:ascii="Calibri" w:eastAsia="Calibri" w:hAnsi="Calibri" w:cs="Arial"/>
          <w:szCs w:val="18"/>
        </w:rPr>
        <w:t>”</w:t>
      </w:r>
      <w:r w:rsidRPr="008D6EF7">
        <w:rPr>
          <w:rFonts w:ascii="Calibri" w:eastAsia="Calibri" w:hAnsi="Calibri" w:cs="Arial"/>
          <w:szCs w:val="18"/>
        </w:rPr>
        <w:t xml:space="preserve">, </w:t>
      </w:r>
      <w:r w:rsidR="00156B18" w:rsidRPr="008D6EF7">
        <w:rPr>
          <w:rFonts w:ascii="Calibri" w:eastAsia="Calibri" w:hAnsi="Calibri" w:cs="Arial"/>
          <w:szCs w:val="18"/>
        </w:rPr>
        <w:t>“</w:t>
      </w:r>
      <w:r w:rsidRPr="008D6EF7">
        <w:rPr>
          <w:rFonts w:ascii="Calibri" w:eastAsia="Calibri" w:hAnsi="Calibri" w:cs="Arial"/>
          <w:szCs w:val="18"/>
        </w:rPr>
        <w:t>tratamento</w:t>
      </w:r>
      <w:r w:rsidR="00156B18" w:rsidRPr="008D6EF7">
        <w:rPr>
          <w:rFonts w:ascii="Calibri" w:eastAsia="Calibri" w:hAnsi="Calibri" w:cs="Arial"/>
          <w:szCs w:val="18"/>
        </w:rPr>
        <w:t>”</w:t>
      </w:r>
      <w:r w:rsidRPr="008D6EF7">
        <w:rPr>
          <w:rFonts w:ascii="Calibri" w:eastAsia="Calibri" w:hAnsi="Calibri" w:cs="Arial"/>
          <w:szCs w:val="18"/>
        </w:rPr>
        <w:t xml:space="preserve">, </w:t>
      </w:r>
      <w:r w:rsidR="00156B18" w:rsidRPr="008D6EF7">
        <w:rPr>
          <w:rFonts w:ascii="Calibri" w:eastAsia="Calibri" w:hAnsi="Calibri" w:cs="Arial"/>
          <w:szCs w:val="18"/>
        </w:rPr>
        <w:t>“</w:t>
      </w:r>
      <w:r w:rsidRPr="008D6EF7">
        <w:rPr>
          <w:rFonts w:ascii="Calibri" w:eastAsia="Calibri" w:hAnsi="Calibri" w:cs="Arial"/>
          <w:szCs w:val="18"/>
        </w:rPr>
        <w:t>subcontratante</w:t>
      </w:r>
      <w:r w:rsidR="00156B18" w:rsidRPr="008D6EF7">
        <w:rPr>
          <w:rFonts w:ascii="Calibri" w:eastAsia="Calibri" w:hAnsi="Calibri" w:cs="Arial"/>
          <w:szCs w:val="18"/>
        </w:rPr>
        <w:t>”</w:t>
      </w:r>
      <w:r w:rsidRPr="008D6EF7">
        <w:rPr>
          <w:rFonts w:ascii="Calibri" w:eastAsia="Calibri" w:hAnsi="Calibri" w:cs="Arial"/>
          <w:szCs w:val="18"/>
        </w:rPr>
        <w:t xml:space="preserve"> e </w:t>
      </w:r>
      <w:r w:rsidR="00156B18" w:rsidRPr="008D6EF7">
        <w:rPr>
          <w:rFonts w:ascii="Calibri" w:eastAsia="Calibri" w:hAnsi="Calibri" w:cs="Arial"/>
          <w:szCs w:val="18"/>
        </w:rPr>
        <w:t>“</w:t>
      </w:r>
      <w:r w:rsidRPr="008D6EF7">
        <w:rPr>
          <w:rFonts w:ascii="Calibri" w:eastAsia="Calibri" w:hAnsi="Calibri" w:cs="Arial"/>
          <w:szCs w:val="18"/>
        </w:rPr>
        <w:t>autoridade de supervisão</w:t>
      </w:r>
      <w:r w:rsidR="00156B18" w:rsidRPr="008D6EF7">
        <w:rPr>
          <w:rFonts w:ascii="Calibri" w:eastAsia="Calibri" w:hAnsi="Calibri" w:cs="Arial"/>
          <w:szCs w:val="18"/>
        </w:rPr>
        <w:t>”</w:t>
      </w:r>
      <w:r w:rsidRPr="008D6EF7">
        <w:rPr>
          <w:rFonts w:ascii="Calibri" w:eastAsia="Calibri" w:hAnsi="Calibri" w:cs="Arial"/>
          <w:szCs w:val="18"/>
        </w:rPr>
        <w:t xml:space="preserve"> como utilizados no presente documento têm os significados que lhes foram atribuídos no RGPD e os termos </w:t>
      </w:r>
      <w:r w:rsidR="00156B18" w:rsidRPr="008D6EF7">
        <w:rPr>
          <w:rFonts w:ascii="Calibri" w:eastAsia="Calibri" w:hAnsi="Calibri" w:cs="Arial"/>
          <w:szCs w:val="18"/>
        </w:rPr>
        <w:t>“</w:t>
      </w:r>
      <w:r w:rsidRPr="008D6EF7">
        <w:rPr>
          <w:rFonts w:ascii="Calibri" w:eastAsia="Calibri" w:hAnsi="Calibri" w:cs="Arial"/>
          <w:szCs w:val="18"/>
        </w:rPr>
        <w:t>importador de dados</w:t>
      </w:r>
      <w:r w:rsidR="00156B18" w:rsidRPr="008D6EF7">
        <w:rPr>
          <w:rFonts w:ascii="Calibri" w:eastAsia="Calibri" w:hAnsi="Calibri" w:cs="Arial"/>
          <w:szCs w:val="18"/>
        </w:rPr>
        <w:t>”</w:t>
      </w:r>
      <w:r w:rsidRPr="008D6EF7">
        <w:rPr>
          <w:rFonts w:ascii="Calibri" w:eastAsia="Calibri" w:hAnsi="Calibri" w:cs="Arial"/>
          <w:szCs w:val="18"/>
        </w:rPr>
        <w:t xml:space="preserve"> e </w:t>
      </w:r>
      <w:r w:rsidR="00156B18" w:rsidRPr="008D6EF7">
        <w:rPr>
          <w:rFonts w:ascii="Calibri" w:eastAsia="Calibri" w:hAnsi="Calibri" w:cs="Arial"/>
          <w:szCs w:val="18"/>
        </w:rPr>
        <w:t>“</w:t>
      </w:r>
      <w:r w:rsidRPr="008D6EF7">
        <w:rPr>
          <w:rFonts w:ascii="Calibri" w:eastAsia="Calibri" w:hAnsi="Calibri" w:cs="Arial"/>
          <w:szCs w:val="18"/>
        </w:rPr>
        <w:t>exportador de dados</w:t>
      </w:r>
      <w:r w:rsidR="00156B18" w:rsidRPr="008D6EF7">
        <w:rPr>
          <w:rFonts w:ascii="Calibri" w:eastAsia="Calibri" w:hAnsi="Calibri" w:cs="Arial"/>
          <w:szCs w:val="18"/>
        </w:rPr>
        <w:t>”</w:t>
      </w:r>
      <w:r w:rsidRPr="008D6EF7">
        <w:rPr>
          <w:rFonts w:ascii="Calibri" w:eastAsia="Calibri" w:hAnsi="Calibri" w:cs="Arial"/>
          <w:szCs w:val="18"/>
        </w:rPr>
        <w:t xml:space="preserve"> têm os significados que lhes foram atribuídos nas Cláusulas Contratuais-Tipo.</w:t>
      </w:r>
    </w:p>
    <w:p w:rsidR="00BF75F8" w:rsidRPr="008D6EF7" w:rsidRDefault="00A95416" w:rsidP="00BF75F8">
      <w:pPr>
        <w:pStyle w:val="ProductList-SubSubSectionHeading"/>
        <w:outlineLvl w:val="1"/>
      </w:pPr>
      <w:bookmarkStart w:id="8" w:name="_Toc489605565"/>
      <w:r w:rsidRPr="008D6EF7">
        <w:rPr>
          <w:rFonts w:ascii="Calibri" w:eastAsia="Calibri" w:hAnsi="Calibri" w:cs="Arial"/>
          <w:szCs w:val="18"/>
        </w:rPr>
        <w:t>Conformidade com as Leis</w:t>
      </w:r>
      <w:bookmarkEnd w:id="8"/>
    </w:p>
    <w:p w:rsidR="003976AE" w:rsidRPr="008D6EF7" w:rsidRDefault="00A95416" w:rsidP="003976AE">
      <w:pPr>
        <w:pStyle w:val="ProductList-SubSubSectionHeading"/>
        <w:outlineLvl w:val="1"/>
        <w:rPr>
          <w:b w:val="0"/>
          <w:color w:val="auto"/>
        </w:rPr>
      </w:pPr>
      <w:r w:rsidRPr="008D6EF7">
        <w:rPr>
          <w:rFonts w:ascii="Calibri" w:eastAsia="Calibri" w:hAnsi="Calibri" w:cs="Arial"/>
          <w:b w:val="0"/>
          <w:color w:val="auto"/>
          <w:szCs w:val="18"/>
        </w:rPr>
        <w:t>A Microsoft terá de respeitar todas as leis e regulamentos geralmente aplicáveis à respetiva prestação de Serviços Profissionais, incluindo a lei respeitante à notificação de violação de segurança.</w:t>
      </w:r>
      <w:r w:rsidR="00156B18" w:rsidRPr="008D6EF7">
        <w:rPr>
          <w:rFonts w:ascii="Calibri" w:eastAsia="Calibri" w:hAnsi="Calibri" w:cs="Arial"/>
          <w:b w:val="0"/>
          <w:color w:val="auto"/>
          <w:szCs w:val="18"/>
        </w:rPr>
        <w:t xml:space="preserve"> </w:t>
      </w:r>
      <w:r w:rsidRPr="008D6EF7">
        <w:rPr>
          <w:rFonts w:ascii="Calibri" w:eastAsia="Calibri" w:hAnsi="Calibri" w:cs="Arial"/>
          <w:b w:val="0"/>
          <w:color w:val="auto"/>
          <w:szCs w:val="18"/>
        </w:rPr>
        <w:t>No entanto, a Microsoft não é responsável pelo cumprimento de quaisquer leis ou normas aplicáveis ao Cliente ou ao seu setor de atividade e que não sejam geralmente aplicáveis a fornecedores de serviços de tecnologia de informação. A Microsoft não determina se os Dados de Suporte e Consultoria Suporte incluem informações sujeitas a qualquer lei ou regulamento específico. Todos os Incidentes de Segurança estão sujeitos aos termos da Notificação de Incidentes de Segurança abaixo.</w:t>
      </w:r>
    </w:p>
    <w:p w:rsidR="00422AFA" w:rsidRPr="008D6EF7" w:rsidRDefault="00422AFA" w:rsidP="003976AE">
      <w:pPr>
        <w:pStyle w:val="ProductList-SubSubSectionHeading"/>
        <w:outlineLvl w:val="1"/>
        <w:rPr>
          <w:b w:val="0"/>
          <w:color w:val="auto"/>
        </w:rPr>
      </w:pPr>
    </w:p>
    <w:p w:rsidR="00BF75F8" w:rsidRPr="008D6EF7" w:rsidRDefault="00A95416" w:rsidP="003976AE">
      <w:pPr>
        <w:pStyle w:val="ProductList-SubSubSectionHeading"/>
        <w:outlineLvl w:val="1"/>
        <w:rPr>
          <w:b w:val="0"/>
          <w:color w:val="auto"/>
        </w:rPr>
      </w:pPr>
      <w:r w:rsidRPr="008D6EF7">
        <w:rPr>
          <w:rFonts w:ascii="Calibri" w:eastAsia="Calibri" w:hAnsi="Calibri" w:cs="Arial"/>
          <w:b w:val="0"/>
          <w:color w:val="auto"/>
          <w:szCs w:val="18"/>
        </w:rPr>
        <w:t>O Cliente terá de cumprir todas as leis e regulamentos relativos à obtenção e utilização por parte do Cliente dos Serviços Profissionais e a respetiva transferência de Dados de Suporte e Consultoria para a Microsoft, incluindo as leis relacionadas com privacidade, Dados Pessoais, dados biométricos, proteção de dados e confidencialidade das comunicações.</w:t>
      </w:r>
    </w:p>
    <w:p w:rsidR="00BF75F8" w:rsidRPr="008D6EF7" w:rsidRDefault="00BF75F8" w:rsidP="00BF75F8">
      <w:pPr>
        <w:pStyle w:val="ProductList-Body"/>
      </w:pPr>
    </w:p>
    <w:p w:rsidR="00BF75F8" w:rsidRPr="008D6EF7" w:rsidRDefault="00A95416" w:rsidP="00BF75F8">
      <w:pPr>
        <w:pStyle w:val="ProductList-SectionHeading"/>
        <w:tabs>
          <w:tab w:val="center" w:pos="5400"/>
        </w:tabs>
        <w:outlineLvl w:val="0"/>
      </w:pPr>
      <w:bookmarkStart w:id="9" w:name="PrivacyandSecurityTerms"/>
      <w:bookmarkStart w:id="10" w:name="_Toc489605572"/>
      <w:r w:rsidRPr="008D6EF7">
        <w:rPr>
          <w:rFonts w:ascii="Calibri Light" w:eastAsia="Calibri Light" w:hAnsi="Calibri Light" w:cs="Arial"/>
          <w:szCs w:val="40"/>
        </w:rPr>
        <w:t xml:space="preserve">Privacidade </w:t>
      </w:r>
      <w:bookmarkEnd w:id="9"/>
      <w:bookmarkEnd w:id="10"/>
    </w:p>
    <w:p w:rsidR="00BF75F8" w:rsidRPr="008D6EF7" w:rsidRDefault="00A95416" w:rsidP="00BF75F8">
      <w:pPr>
        <w:pStyle w:val="ProductList-SubSubSectionHeading"/>
        <w:outlineLvl w:val="2"/>
      </w:pPr>
      <w:bookmarkStart w:id="11" w:name="_Toc489605575"/>
      <w:r w:rsidRPr="008D6EF7">
        <w:rPr>
          <w:rFonts w:ascii="Calibri" w:eastAsia="Calibri" w:hAnsi="Calibri" w:cs="Arial"/>
          <w:szCs w:val="18"/>
        </w:rPr>
        <w:t>Tratamento de Dados de Suporte e Consultoria</w:t>
      </w:r>
      <w:bookmarkEnd w:id="11"/>
      <w:r w:rsidRPr="008D6EF7">
        <w:rPr>
          <w:rFonts w:ascii="Calibri" w:eastAsia="Calibri" w:hAnsi="Calibri" w:cs="Arial"/>
          <w:szCs w:val="18"/>
        </w:rPr>
        <w:t>; Propriedade</w:t>
      </w:r>
    </w:p>
    <w:p w:rsidR="00BF75F8" w:rsidRPr="008D6EF7" w:rsidRDefault="00A95416" w:rsidP="006C4E0B">
      <w:pPr>
        <w:pStyle w:val="ProductList-SubSubSectionHeading"/>
        <w:outlineLvl w:val="2"/>
        <w:rPr>
          <w:b w:val="0"/>
          <w:color w:val="auto"/>
        </w:rPr>
      </w:pPr>
      <w:r w:rsidRPr="008D6EF7">
        <w:rPr>
          <w:rFonts w:ascii="Calibri" w:eastAsia="Calibri" w:hAnsi="Calibri" w:cs="Arial"/>
          <w:b w:val="0"/>
          <w:color w:val="auto"/>
          <w:szCs w:val="18"/>
        </w:rPr>
        <w:t>Os Dados de Suporte e Consultoria serão apenas utilizados ou de alguma forma tratados para fornecer ao Cliente os Serviços Profissionais. A Microsoft não utilizará ou de alguma forma tratará os Dados de Suporte e Consultoria nem as informações derivadas dos mesmos para qualquer publicidade ou outros objetivos comerciais semelhantes. Tal como entre as partes, o Cliente detém todos os direitos, títulos e interesses nos e para os Dados de Suporte e Consultoria. A Microsoft não adquire direitos sobre os Dados de Suporte e Consultoria para além dos direitos concedidos pelo Cliente à Microsoft para prestar os Serviços Profissionais ao Cliente.</w:t>
      </w:r>
    </w:p>
    <w:p w:rsidR="00BF75F8" w:rsidRPr="008D6EF7" w:rsidRDefault="00BF75F8" w:rsidP="00BF75F8">
      <w:pPr>
        <w:pStyle w:val="ProductList-Body"/>
      </w:pPr>
    </w:p>
    <w:p w:rsidR="00BF75F8" w:rsidRPr="008D6EF7" w:rsidRDefault="00A95416" w:rsidP="00BF75F8">
      <w:pPr>
        <w:pStyle w:val="ProductList-SubSubSectionHeading"/>
        <w:outlineLvl w:val="2"/>
      </w:pPr>
      <w:bookmarkStart w:id="12" w:name="_Toc489605576"/>
      <w:bookmarkStart w:id="13" w:name="ProcessingofPersonalData"/>
      <w:r w:rsidRPr="008D6EF7">
        <w:rPr>
          <w:rFonts w:ascii="Calibri" w:eastAsia="Calibri" w:hAnsi="Calibri" w:cs="Arial"/>
          <w:szCs w:val="18"/>
        </w:rPr>
        <w:t>Tratamento de Dados Pessoais</w:t>
      </w:r>
      <w:bookmarkEnd w:id="12"/>
      <w:r w:rsidRPr="008D6EF7">
        <w:rPr>
          <w:rFonts w:ascii="Calibri" w:eastAsia="Calibri" w:hAnsi="Calibri" w:cs="Arial"/>
          <w:szCs w:val="18"/>
        </w:rPr>
        <w:t>; RGPD</w:t>
      </w:r>
    </w:p>
    <w:p w:rsidR="00422AFA" w:rsidRPr="008D6EF7" w:rsidRDefault="00A95416" w:rsidP="00422AFA">
      <w:pPr>
        <w:pStyle w:val="ProductList-SubSubSectionHeading"/>
        <w:outlineLvl w:val="2"/>
        <w:rPr>
          <w:b w:val="0"/>
          <w:color w:val="auto"/>
        </w:rPr>
      </w:pPr>
      <w:bookmarkStart w:id="14" w:name="_Toc489605577"/>
      <w:bookmarkEnd w:id="13"/>
      <w:r w:rsidRPr="008D6EF7">
        <w:rPr>
          <w:rFonts w:ascii="Calibri" w:eastAsia="Calibri" w:hAnsi="Calibri" w:cs="Arial"/>
          <w:b w:val="0"/>
          <w:color w:val="auto"/>
          <w:szCs w:val="18"/>
        </w:rPr>
        <w:t>Os Dados Pessoais incluídos nos Dados de Suporte e Consultoria, disponibilizados à Microsoft por ou em nome do Cliente através de um acordo com a Microsoft para a obtenção de Serviços Profissionais, também constituem Dados de Suporte e Consultoria. Poderão também ser gerados identificadores pseudonimizados através dos Sistemas de TI dos Serviços Profissionais, os quais são também Dados Pessoais. Se a Microsoft for subcontratante ou subcontratante ulterior de Dados Pessoais e estiver sujeita ao RGPD, as Disposições do RGPD constantes no Anexo 3 regem o tratamento, pelo que as Partes acordam também nos seguintes termos da presente subsecção (</w:t>
      </w:r>
      <w:r w:rsidR="00156B18" w:rsidRPr="008D6EF7">
        <w:rPr>
          <w:rFonts w:ascii="Calibri" w:eastAsia="Calibri" w:hAnsi="Calibri" w:cs="Arial"/>
          <w:b w:val="0"/>
          <w:color w:val="auto"/>
          <w:szCs w:val="18"/>
        </w:rPr>
        <w:t>“</w:t>
      </w:r>
      <w:r w:rsidRPr="008D6EF7">
        <w:rPr>
          <w:rFonts w:ascii="Calibri" w:eastAsia="Calibri" w:hAnsi="Calibri" w:cs="Arial"/>
          <w:b w:val="0"/>
          <w:color w:val="auto"/>
          <w:szCs w:val="18"/>
        </w:rPr>
        <w:t>Tratamento de Dados Pessoais; RGPD</w:t>
      </w:r>
      <w:r w:rsidR="00156B18" w:rsidRPr="008D6EF7">
        <w:rPr>
          <w:rFonts w:ascii="Calibri" w:eastAsia="Calibri" w:hAnsi="Calibri" w:cs="Arial"/>
          <w:b w:val="0"/>
          <w:color w:val="auto"/>
          <w:szCs w:val="18"/>
        </w:rPr>
        <w:t>”</w:t>
      </w:r>
      <w:r w:rsidRPr="008D6EF7">
        <w:rPr>
          <w:rFonts w:ascii="Calibri" w:eastAsia="Calibri" w:hAnsi="Calibri" w:cs="Arial"/>
          <w:b w:val="0"/>
          <w:color w:val="auto"/>
          <w:szCs w:val="18"/>
        </w:rPr>
        <w:t>):</w:t>
      </w:r>
    </w:p>
    <w:p w:rsidR="00422AFA" w:rsidRPr="008D6EF7" w:rsidRDefault="00422AFA" w:rsidP="00422AFA">
      <w:pPr>
        <w:pStyle w:val="ProductList-SubSubSectionHeading"/>
        <w:outlineLvl w:val="2"/>
        <w:rPr>
          <w:b w:val="0"/>
          <w:color w:val="auto"/>
        </w:rPr>
      </w:pPr>
    </w:p>
    <w:p w:rsidR="00422AFA" w:rsidRPr="008D6EF7" w:rsidRDefault="00A95416" w:rsidP="00422AFA">
      <w:pPr>
        <w:pStyle w:val="ProductList-Body"/>
        <w:ind w:left="180"/>
        <w:outlineLvl w:val="2"/>
        <w:rPr>
          <w:b/>
          <w:color w:val="0072C6"/>
        </w:rPr>
      </w:pPr>
      <w:r w:rsidRPr="008D6EF7">
        <w:rPr>
          <w:rFonts w:ascii="Calibri" w:eastAsia="Calibri" w:hAnsi="Calibri" w:cs="Arial"/>
          <w:b/>
          <w:color w:val="0072C6"/>
          <w:szCs w:val="18"/>
        </w:rPr>
        <w:t>Funções e Responsabilidades do Subcontratante e do Responsável pelo Tratamento</w:t>
      </w:r>
    </w:p>
    <w:p w:rsidR="00422AFA" w:rsidRPr="008D6EF7" w:rsidRDefault="00A95416" w:rsidP="00422AFA">
      <w:pPr>
        <w:pStyle w:val="ProductList-SubSubSectionHeading"/>
        <w:ind w:left="180"/>
        <w:outlineLvl w:val="2"/>
        <w:rPr>
          <w:b w:val="0"/>
          <w:color w:val="auto"/>
        </w:rPr>
      </w:pPr>
      <w:r w:rsidRPr="008D6EF7">
        <w:rPr>
          <w:rFonts w:ascii="Calibri" w:eastAsia="Calibri" w:hAnsi="Calibri" w:cs="Arial"/>
          <w:b w:val="0"/>
          <w:color w:val="auto"/>
          <w:szCs w:val="18"/>
        </w:rPr>
        <w:t>O Cliente e a Microsoft concordam que o Cliente é o responsável pelo tratamento dos Dados Pessoais e que a Microsoft é o subcontratante destes dados, exceto quando o Cliente agir como subcontratante dos Dados Pessoais, caso em que a Microsoft é o subcontratante ulterior. A Microsoft apenas tratará os Dados Pessoais mediante instruções documentadas do Cliente. O Cliente concorda que o seu Contrato (incluindo a presente Adenda) constituem as instruções documentadas, completas e finais para a Microsoft relativamente ao tratamento de Dados Pessoais. Quaisquer instruções adicionais ou alternativas devem ser acordadas em conformidade com o processo de alteração do Contrato do Cliente.</w:t>
      </w:r>
      <w:r w:rsidR="00156B18" w:rsidRPr="008D6EF7">
        <w:rPr>
          <w:rFonts w:ascii="Calibri" w:eastAsia="Calibri" w:hAnsi="Calibri" w:cs="Arial"/>
          <w:b w:val="0"/>
          <w:color w:val="auto"/>
          <w:szCs w:val="18"/>
        </w:rPr>
        <w:t xml:space="preserve"> </w:t>
      </w:r>
      <w:r w:rsidRPr="008D6EF7">
        <w:rPr>
          <w:rFonts w:ascii="Calibri" w:eastAsia="Calibri" w:hAnsi="Calibri" w:cs="Arial"/>
          <w:b w:val="0"/>
          <w:color w:val="auto"/>
          <w:szCs w:val="18"/>
        </w:rPr>
        <w:t>Nos casos em que o RGPD for aplicável e o Cliente for o subcontratante, este garante à Microsoft que as instruções do Cliente, incluindo a nomeação desta como subcontratante ou subcontratante ulterior, foram autorizadas pelo responsável pelo tratamento em causa.</w:t>
      </w:r>
    </w:p>
    <w:p w:rsidR="00422AFA" w:rsidRPr="008D6EF7" w:rsidRDefault="00422AFA" w:rsidP="00422AFA">
      <w:pPr>
        <w:pStyle w:val="ProductList-SubSubSectionHeading"/>
        <w:ind w:left="180"/>
        <w:outlineLvl w:val="2"/>
        <w:rPr>
          <w:b w:val="0"/>
          <w:color w:val="auto"/>
        </w:rPr>
      </w:pPr>
    </w:p>
    <w:p w:rsidR="00422AFA" w:rsidRPr="008D6EF7" w:rsidRDefault="00A95416" w:rsidP="00B0434E">
      <w:pPr>
        <w:pStyle w:val="ProductList-SubSubSectionHeading"/>
        <w:outlineLvl w:val="2"/>
        <w:rPr>
          <w:b w:val="0"/>
          <w:color w:val="auto"/>
        </w:rPr>
      </w:pPr>
      <w:r w:rsidRPr="008D6EF7">
        <w:rPr>
          <w:rFonts w:ascii="Calibri" w:eastAsia="Calibri" w:hAnsi="Calibri" w:cs="Arial"/>
          <w:b w:val="0"/>
          <w:color w:val="auto"/>
          <w:szCs w:val="18"/>
        </w:rPr>
        <w:tab/>
      </w:r>
      <w:r w:rsidRPr="008D6EF7">
        <w:rPr>
          <w:rFonts w:ascii="Calibri" w:eastAsia="Calibri" w:hAnsi="Calibri" w:cs="Arial"/>
          <w:color w:val="0072C6"/>
          <w:szCs w:val="18"/>
        </w:rPr>
        <w:t>Informações sobre o Tratamento</w:t>
      </w:r>
    </w:p>
    <w:p w:rsidR="00422AFA" w:rsidRPr="008D6EF7" w:rsidRDefault="00A95416" w:rsidP="00422AFA">
      <w:pPr>
        <w:pStyle w:val="ProductList-SubSubSectionHeading"/>
        <w:ind w:left="180"/>
        <w:outlineLvl w:val="2"/>
        <w:rPr>
          <w:b w:val="0"/>
          <w:color w:val="auto"/>
        </w:rPr>
      </w:pPr>
      <w:r w:rsidRPr="008D6EF7">
        <w:rPr>
          <w:rFonts w:ascii="Calibri" w:eastAsia="Calibri" w:hAnsi="Calibri" w:cs="Arial"/>
          <w:b w:val="0"/>
          <w:color w:val="auto"/>
          <w:szCs w:val="18"/>
        </w:rPr>
        <w:t xml:space="preserve">As Partes reconhecem e acordam que: </w:t>
      </w:r>
    </w:p>
    <w:p w:rsidR="00422AFA" w:rsidRPr="008D6EF7" w:rsidRDefault="00A95416" w:rsidP="00422AFA">
      <w:pPr>
        <w:pStyle w:val="ProductList-SubSubSectionHeading"/>
        <w:ind w:left="720"/>
        <w:outlineLvl w:val="2"/>
        <w:rPr>
          <w:b w:val="0"/>
          <w:color w:val="auto"/>
        </w:rPr>
      </w:pPr>
      <w:r w:rsidRPr="008D6EF7">
        <w:rPr>
          <w:rFonts w:ascii="Calibri" w:eastAsia="Calibri" w:hAnsi="Calibri" w:cs="Arial"/>
          <w:b w:val="0"/>
          <w:color w:val="auto"/>
          <w:szCs w:val="18"/>
        </w:rPr>
        <w:t>• O objeto do tratamento limita-se a Dados Pessoais que se inserem no âmbito do RGPD;</w:t>
      </w:r>
    </w:p>
    <w:p w:rsidR="00422AFA" w:rsidRPr="008D6EF7" w:rsidRDefault="00A95416" w:rsidP="00422AFA">
      <w:pPr>
        <w:pStyle w:val="ProductList-SubSubSectionHeading"/>
        <w:ind w:left="720"/>
        <w:outlineLvl w:val="2"/>
        <w:rPr>
          <w:b w:val="0"/>
          <w:color w:val="auto"/>
        </w:rPr>
      </w:pPr>
      <w:r w:rsidRPr="008D6EF7">
        <w:rPr>
          <w:rFonts w:ascii="Calibri" w:eastAsia="Calibri" w:hAnsi="Calibri" w:cs="Arial"/>
          <w:b w:val="0"/>
          <w:color w:val="auto"/>
          <w:szCs w:val="18"/>
        </w:rPr>
        <w:t>• O tratamento mantém-se durante a vigência do acordo do Cliente com a Microsoft e até que todos os Dados Pessoais sejam eliminados ou devolvidos;</w:t>
      </w:r>
    </w:p>
    <w:p w:rsidR="00422AFA" w:rsidRPr="008D6EF7" w:rsidRDefault="00A95416" w:rsidP="00422AFA">
      <w:pPr>
        <w:pStyle w:val="ProductList-SubSubSectionHeading"/>
        <w:ind w:left="720"/>
        <w:outlineLvl w:val="2"/>
        <w:rPr>
          <w:b w:val="0"/>
          <w:color w:val="auto"/>
        </w:rPr>
      </w:pPr>
      <w:r w:rsidRPr="008D6EF7">
        <w:rPr>
          <w:rFonts w:ascii="Calibri" w:eastAsia="Calibri" w:hAnsi="Calibri" w:cs="Arial"/>
          <w:b w:val="0"/>
          <w:color w:val="auto"/>
          <w:szCs w:val="18"/>
        </w:rPr>
        <w:t>• A natureza e objetivo do tratamento de dados será a disponibilização dos Serviços Profissionais que decorram do Contrato do Cliente;</w:t>
      </w:r>
    </w:p>
    <w:p w:rsidR="00422AFA" w:rsidRPr="008D6EF7" w:rsidRDefault="00A95416" w:rsidP="00422AFA">
      <w:pPr>
        <w:pStyle w:val="ProductList-SubSubSectionHeading"/>
        <w:ind w:left="720"/>
        <w:outlineLvl w:val="2"/>
        <w:rPr>
          <w:b w:val="0"/>
          <w:color w:val="auto"/>
        </w:rPr>
      </w:pPr>
      <w:r w:rsidRPr="008D6EF7">
        <w:rPr>
          <w:rFonts w:ascii="Calibri" w:eastAsia="Calibri" w:hAnsi="Calibri" w:cs="Arial"/>
          <w:b w:val="0"/>
          <w:color w:val="auto"/>
          <w:szCs w:val="18"/>
        </w:rPr>
        <w:t>• Os tipos de Dados Pessoais tratados para a prestação dos Serviços Profissionais incluem os Dados Pessoais expressamente identificados no Artigo 4.º do RGPD; e</w:t>
      </w:r>
    </w:p>
    <w:p w:rsidR="00422AFA" w:rsidRPr="008D6EF7" w:rsidRDefault="00A95416" w:rsidP="00422AFA">
      <w:pPr>
        <w:pStyle w:val="ProductList-SubSubSectionHeading"/>
        <w:ind w:left="720"/>
        <w:outlineLvl w:val="2"/>
        <w:rPr>
          <w:b w:val="0"/>
          <w:color w:val="auto"/>
        </w:rPr>
      </w:pPr>
      <w:r w:rsidRPr="008D6EF7">
        <w:rPr>
          <w:rFonts w:ascii="Calibri" w:eastAsia="Calibri" w:hAnsi="Calibri" w:cs="Arial"/>
          <w:b w:val="0"/>
          <w:color w:val="auto"/>
          <w:szCs w:val="18"/>
        </w:rPr>
        <w:t>• As categorias de titulares dos dados são utilizadores finais e representantes do Cliente, tais como empregados, contratantes, colaboradores e clientes.</w:t>
      </w:r>
    </w:p>
    <w:p w:rsidR="00422AFA" w:rsidRPr="008D6EF7" w:rsidRDefault="00422AFA" w:rsidP="00422AFA">
      <w:pPr>
        <w:pStyle w:val="ProductList-SubSubSectionHeading"/>
        <w:outlineLvl w:val="2"/>
        <w:rPr>
          <w:b w:val="0"/>
          <w:color w:val="auto"/>
        </w:rPr>
      </w:pPr>
    </w:p>
    <w:p w:rsidR="00422AFA" w:rsidRPr="008D6EF7" w:rsidRDefault="00A95416" w:rsidP="00422AFA">
      <w:pPr>
        <w:pStyle w:val="ProductList-SubSubSectionHeading"/>
        <w:ind w:left="180"/>
        <w:outlineLvl w:val="2"/>
        <w:rPr>
          <w:b w:val="0"/>
          <w:color w:val="auto"/>
        </w:rPr>
      </w:pPr>
      <w:r w:rsidRPr="008D6EF7">
        <w:rPr>
          <w:rFonts w:ascii="Calibri" w:eastAsia="Calibri" w:hAnsi="Calibri" w:cs="Arial"/>
          <w:bCs/>
          <w:color w:val="0072C6"/>
          <w:szCs w:val="18"/>
        </w:rPr>
        <w:t>Direitos dos Titulares dos Dados; Assistência a Pedidos</w:t>
      </w:r>
    </w:p>
    <w:p w:rsidR="00422AFA" w:rsidRPr="008D6EF7" w:rsidRDefault="00A95416" w:rsidP="00422AFA">
      <w:pPr>
        <w:pStyle w:val="ProductList-SubSubSectionHeading"/>
        <w:ind w:left="180"/>
        <w:outlineLvl w:val="2"/>
        <w:rPr>
          <w:b w:val="0"/>
          <w:color w:val="auto"/>
        </w:rPr>
      </w:pPr>
      <w:r w:rsidRPr="008D6EF7">
        <w:rPr>
          <w:rFonts w:ascii="Calibri" w:eastAsia="Calibri" w:hAnsi="Calibri" w:cs="Arial"/>
          <w:b w:val="0"/>
          <w:color w:val="auto"/>
          <w:szCs w:val="18"/>
        </w:rPr>
        <w:t>A Microsoft disponibilizará ao Cliente, de forma consistente com a sua função de subcontratante, Dados Pessoais dos titulares dos dados e a capacidade para dar resposta aos pedidos do titulares dos dados de exercício dos seus direitos previstos no RGPD. A Microsoft deverá agir em conformidade com os pedidos razoáveis feitos pelo Cliente para o auxiliar na resposta a este tipo de pedido do titular de dados. Se a Microsoft receber um pedido do titular de dados do Cliente para exercer um ou mais dos respetivos direitos ao abrigo do RGPD no contexto dos Serviços Profissionais em que a Microsoft é subcontratante ou subcontratante ulterior, a Microsoft irá direcionar o titular dos dados para enviar o pedido diretamente para o Cliente. O Cliente será responsável por responder a qualquer pedido desta natureza. A Microsoft deverá agir em conformidade com os pedidos razoáveis feitos pelo Cliente para o auxiliar na resposta a este tipo de pedido do titular de dados.</w:t>
      </w:r>
    </w:p>
    <w:p w:rsidR="00422AFA" w:rsidRPr="008D6EF7" w:rsidRDefault="00422AFA" w:rsidP="00422AFA">
      <w:pPr>
        <w:pStyle w:val="ProductList-SubSubSectionHeading"/>
        <w:ind w:left="180"/>
        <w:outlineLvl w:val="2"/>
        <w:rPr>
          <w:b w:val="0"/>
          <w:color w:val="auto"/>
        </w:rPr>
      </w:pPr>
    </w:p>
    <w:p w:rsidR="00422AFA" w:rsidRPr="008D6EF7" w:rsidRDefault="00A95416" w:rsidP="006C4E0B">
      <w:pPr>
        <w:pStyle w:val="ProductList-SubSubSectionHeading"/>
        <w:ind w:left="180"/>
        <w:outlineLvl w:val="2"/>
        <w:rPr>
          <w:b w:val="0"/>
          <w:color w:val="auto"/>
        </w:rPr>
      </w:pPr>
      <w:r w:rsidRPr="008D6EF7">
        <w:rPr>
          <w:rFonts w:ascii="Calibri" w:eastAsia="Calibri" w:hAnsi="Calibri" w:cs="Arial"/>
          <w:bCs/>
          <w:color w:val="0072C6"/>
          <w:szCs w:val="18"/>
        </w:rPr>
        <w:t>Registos das Atividades de Tratamento</w:t>
      </w:r>
    </w:p>
    <w:p w:rsidR="00BF75F8" w:rsidRPr="008D6EF7" w:rsidRDefault="00A95416" w:rsidP="006C4E0B">
      <w:pPr>
        <w:pStyle w:val="ProductList-SubSubSectionHeading"/>
        <w:ind w:left="180"/>
        <w:outlineLvl w:val="2"/>
        <w:rPr>
          <w:b w:val="0"/>
          <w:color w:val="auto"/>
        </w:rPr>
      </w:pPr>
      <w:r w:rsidRPr="008D6EF7">
        <w:rPr>
          <w:rFonts w:ascii="Calibri" w:eastAsia="Calibri" w:hAnsi="Calibri" w:cs="Arial"/>
          <w:b w:val="0"/>
          <w:color w:val="auto"/>
          <w:szCs w:val="18"/>
        </w:rPr>
        <w:t xml:space="preserve">A Microsoft deverá conservar todos os registos exigidos pelo Artigo 30(2) do RGPD e, na medida em que seja aplicável ao tratamento dos Dados Pessoais em nome do Cliente, disponibilizá-los ao Cliente mediante pedido. </w:t>
      </w:r>
    </w:p>
    <w:p w:rsidR="00BF75F8" w:rsidRPr="008D6EF7" w:rsidRDefault="00BF75F8" w:rsidP="00BF75F8">
      <w:pPr>
        <w:pStyle w:val="ProductList-SubSubSectionHeading"/>
        <w:outlineLvl w:val="2"/>
      </w:pPr>
    </w:p>
    <w:p w:rsidR="00BF75F8" w:rsidRPr="008D6EF7" w:rsidRDefault="00A95416" w:rsidP="00BF75F8">
      <w:pPr>
        <w:pStyle w:val="ProductList-SubSubSectionHeading"/>
        <w:outlineLvl w:val="2"/>
      </w:pPr>
      <w:bookmarkStart w:id="15" w:name="_Toc489605578"/>
      <w:bookmarkEnd w:id="14"/>
      <w:r w:rsidRPr="008D6EF7">
        <w:rPr>
          <w:rFonts w:ascii="Calibri" w:eastAsia="Calibri" w:hAnsi="Calibri" w:cs="Arial"/>
          <w:szCs w:val="18"/>
        </w:rPr>
        <w:t>Divulgação dos Dados de Suporte e Consultoria</w:t>
      </w:r>
      <w:bookmarkEnd w:id="15"/>
    </w:p>
    <w:p w:rsidR="00BF75F8" w:rsidRPr="008D6EF7" w:rsidRDefault="00A95416" w:rsidP="00BF75F8">
      <w:pPr>
        <w:pStyle w:val="ProductList-Body"/>
        <w:spacing w:after="120"/>
      </w:pPr>
      <w:r w:rsidRPr="008D6EF7">
        <w:rPr>
          <w:rFonts w:ascii="Calibri" w:eastAsia="Calibri" w:hAnsi="Calibri" w:cs="Arial"/>
          <w:szCs w:val="18"/>
        </w:rPr>
        <w:t xml:space="preserve">A Microsoft não divulgará os Dados de Suporte e Consultoria fora da Microsoft nem das respetivas subsidiárias e afiliadas controladas exceto (1) se o Cliente o indicar, (2) consoante descrito na presente Adenda, ou (3) se a lei assim o exigir. </w:t>
      </w:r>
    </w:p>
    <w:p w:rsidR="00BF75F8" w:rsidRPr="008D6EF7" w:rsidRDefault="00A95416" w:rsidP="00BF75F8">
      <w:pPr>
        <w:pStyle w:val="ProductList-Body"/>
        <w:spacing w:after="120"/>
      </w:pPr>
      <w:r w:rsidRPr="008D6EF7">
        <w:rPr>
          <w:rFonts w:ascii="Calibri" w:eastAsia="Calibri" w:hAnsi="Calibri" w:cs="Arial"/>
          <w:szCs w:val="18"/>
        </w:rPr>
        <w:t>A menos que seja exigido por lei, os Dados de Suporte e Consultoria não serão divulgados pela Microsoft.</w:t>
      </w:r>
      <w:r w:rsidR="00156B18" w:rsidRPr="008D6EF7">
        <w:rPr>
          <w:rFonts w:ascii="Calibri" w:eastAsia="Calibri" w:hAnsi="Calibri" w:cs="Arial"/>
          <w:szCs w:val="18"/>
        </w:rPr>
        <w:t xml:space="preserve"> </w:t>
      </w:r>
      <w:r w:rsidRPr="008D6EF7">
        <w:rPr>
          <w:rFonts w:ascii="Calibri" w:eastAsia="Calibri" w:hAnsi="Calibri" w:cs="Arial"/>
          <w:szCs w:val="18"/>
        </w:rPr>
        <w:t>Se a Microsoft for contactada por agências de aplicação da lei que pretendam obter os Dados de Suporte e Consultoria, a Microsoft tentará redirecioná-las para solicitarem esses dados diretamente junto do Cliente.</w:t>
      </w:r>
      <w:r w:rsidR="00156B18" w:rsidRPr="008D6EF7">
        <w:rPr>
          <w:rFonts w:ascii="Calibri" w:eastAsia="Calibri" w:hAnsi="Calibri" w:cs="Arial"/>
          <w:szCs w:val="18"/>
        </w:rPr>
        <w:t xml:space="preserve"> </w:t>
      </w:r>
      <w:r w:rsidRPr="008D6EF7">
        <w:rPr>
          <w:rFonts w:ascii="Calibri" w:eastAsia="Calibri" w:hAnsi="Calibri" w:cs="Arial"/>
          <w:szCs w:val="18"/>
        </w:rPr>
        <w:t>Se for obrigada a divulgar os Dados de Suporte e Consultoria a agências de aplicação da lei, a Microsoft deverá notificar imediatamente o Cliente e fornecer uma cópia da exigência, a menos que esteja legalmente proibida de o fazer.</w:t>
      </w:r>
    </w:p>
    <w:p w:rsidR="00BF75F8" w:rsidRPr="008D6EF7" w:rsidRDefault="00A95416" w:rsidP="00BF75F8">
      <w:pPr>
        <w:pStyle w:val="ProductList-Body"/>
        <w:spacing w:after="120"/>
      </w:pPr>
      <w:r w:rsidRPr="008D6EF7">
        <w:rPr>
          <w:rFonts w:ascii="Calibri" w:eastAsia="Calibri" w:hAnsi="Calibri" w:cs="Arial"/>
          <w:szCs w:val="18"/>
        </w:rPr>
        <w:t>Após a receção de qualquer pedido de terceiros para Dados de Suporte e Consultoria,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rsidR="00422AFA" w:rsidRPr="008D6EF7" w:rsidRDefault="00A95416" w:rsidP="00BF75F8">
      <w:pPr>
        <w:pStyle w:val="ProductList-Body"/>
        <w:spacing w:after="120"/>
      </w:pPr>
      <w:r w:rsidRPr="008D6EF7">
        <w:rPr>
          <w:rFonts w:ascii="Calibri" w:eastAsia="Calibri" w:hAnsi="Calibri" w:cs="Arial"/>
          <w:szCs w:val="18"/>
        </w:rPr>
        <w:lastRenderedPageBreak/>
        <w:t>A Microsoft não disponibilizará a qualquer terceiro (a) acesso direto, indireto, ilimitado ou sem restrições aos Dados de Suporte e Consultoria; (b) as chaves de encriptação da plataforma utilizadas para proteger os Dados de Suporte e Consultoria ou a capacidade de violar essa encriptação; ou (c) o acesso aos Dados de Suporte e Consultoria, caso a Microsoft tenha presente que os dados vão ser utilizados para outros fins que não os descritos no pedido de terceiros.</w:t>
      </w:r>
    </w:p>
    <w:p w:rsidR="00BF75F8" w:rsidRPr="008D6EF7" w:rsidRDefault="00A95416" w:rsidP="00BF75F8">
      <w:pPr>
        <w:pStyle w:val="ProductList-Body"/>
        <w:spacing w:after="120"/>
      </w:pPr>
      <w:r w:rsidRPr="008D6EF7">
        <w:rPr>
          <w:rFonts w:ascii="Calibri" w:eastAsia="Calibri" w:hAnsi="Calibri" w:cs="Arial"/>
          <w:szCs w:val="18"/>
        </w:rPr>
        <w:t xml:space="preserve">No âmbito do disposto supra, a Microsoft poderá fornecer as informações de contacto básicas do Cliente a terceiros. </w:t>
      </w:r>
    </w:p>
    <w:p w:rsidR="00BF75F8" w:rsidRPr="008D6EF7" w:rsidRDefault="00BF75F8" w:rsidP="00BF75F8">
      <w:pPr>
        <w:pStyle w:val="ProductList-Body"/>
      </w:pPr>
    </w:p>
    <w:p w:rsidR="00BF75F8" w:rsidRPr="008D6EF7" w:rsidRDefault="00A95416" w:rsidP="00BF75F8">
      <w:pPr>
        <w:pStyle w:val="ProductList-SubSubSectionHeading"/>
        <w:outlineLvl w:val="2"/>
      </w:pPr>
      <w:r w:rsidRPr="008D6EF7">
        <w:rPr>
          <w:rFonts w:ascii="Calibri" w:eastAsia="Calibri" w:hAnsi="Calibri" w:cs="Arial"/>
          <w:szCs w:val="18"/>
        </w:rPr>
        <w:t>Eliminação e Devolução dos Dados de Suporte e Consultoria</w:t>
      </w:r>
    </w:p>
    <w:p w:rsidR="00BF75F8" w:rsidRPr="008D6EF7" w:rsidRDefault="00A95416" w:rsidP="00BF75F8">
      <w:pPr>
        <w:pStyle w:val="ProductList-Body"/>
        <w:spacing w:after="120"/>
      </w:pPr>
      <w:r w:rsidRPr="008D6EF7">
        <w:rPr>
          <w:rFonts w:ascii="Calibri" w:eastAsia="Calibri" w:hAnsi="Calibri" w:cs="Arial"/>
          <w:szCs w:val="18"/>
        </w:rPr>
        <w:t xml:space="preserve">A Microsoft irá eliminar ou devolver todas as cópias dos Dados de Suporte e Consultoria, bem como os Dados Pessoais, após terem sido alcançados os objetivos comerciais para os quais os Dados de Suporte e Consultoria foram recolhidos ou transferidos ou mais cedo se o Cliente tiver enviado um pedido por escrito para esse fim. </w:t>
      </w:r>
    </w:p>
    <w:p w:rsidR="00BF75F8" w:rsidRPr="008D6EF7" w:rsidRDefault="00BF75F8" w:rsidP="00BF75F8">
      <w:pPr>
        <w:pStyle w:val="ProductList-SubSubSectionHeading"/>
        <w:outlineLvl w:val="2"/>
      </w:pPr>
    </w:p>
    <w:p w:rsidR="00BF75F8" w:rsidRPr="008D6EF7" w:rsidRDefault="00A95416" w:rsidP="00BF75F8">
      <w:pPr>
        <w:pStyle w:val="ProductList-SubSubSectionHeading"/>
        <w:outlineLvl w:val="2"/>
      </w:pPr>
      <w:bookmarkStart w:id="16" w:name="LocationofDataProcessing"/>
      <w:bookmarkStart w:id="17" w:name="_Toc489605583"/>
      <w:r w:rsidRPr="008D6EF7">
        <w:rPr>
          <w:rFonts w:ascii="Calibri" w:eastAsia="Calibri" w:hAnsi="Calibri" w:cs="Arial"/>
          <w:szCs w:val="18"/>
        </w:rPr>
        <w:t>Localização do Tratamento de Dados</w:t>
      </w:r>
      <w:bookmarkEnd w:id="16"/>
      <w:bookmarkEnd w:id="17"/>
    </w:p>
    <w:p w:rsidR="00BF75F8" w:rsidRPr="008D6EF7" w:rsidRDefault="00A95416" w:rsidP="00BF75F8">
      <w:pPr>
        <w:pStyle w:val="ProductList-Body"/>
        <w:spacing w:after="120"/>
      </w:pPr>
      <w:r w:rsidRPr="008D6EF7">
        <w:rPr>
          <w:rFonts w:ascii="Calibri" w:eastAsia="Calibri" w:hAnsi="Calibri" w:cs="Arial"/>
          <w:szCs w:val="18"/>
        </w:rPr>
        <w:t xml:space="preserve">Os Dados de Suporte e Consultoria, bem como os Dados Pessoais, que a Microsoft trata em nome do Cliente podem ser transferidos e armazenados e tratados nos Estados Unidos ou em qualquer outro país em que a Microsoft ou os seus Subcontratantes Ulteriores operam. O Cliente designa a Microsoft para efetuar quaisquer transferências desse tipo dos Dados de Suporte e Consultoria, bem como dos Dados Pessoais, para um desses países e para armazenar e tratar os Dados de Suporte e Consultoria, bem como dos Dados Pessoais, para fornecer os Serviços Profissionais. </w:t>
      </w:r>
    </w:p>
    <w:p w:rsidR="009508AE" w:rsidRPr="008D6EF7" w:rsidRDefault="00A95416" w:rsidP="00BF75F8">
      <w:pPr>
        <w:pStyle w:val="ProductList-Body"/>
        <w:spacing w:after="120"/>
      </w:pPr>
      <w:r w:rsidRPr="008D6EF7">
        <w:rPr>
          <w:rFonts w:ascii="Calibri" w:eastAsia="Calibri" w:hAnsi="Calibri" w:cs="Arial"/>
          <w:szCs w:val="18"/>
        </w:rPr>
        <w:t>No que diz respeito aos Serviços de Suporte e após confirmação dos Serviços de Consultoria, todas as transferências de Dados de Suporte e Consultoria para fora da União Europeia, do Espaço Económico Europeu e da Suíça pelos Serviços Profissionais previstos na presente Adenda serão regidos pelas Cláusulas Contratuais-Tipo constantes nos Anexos 1 e 2, a menos que o Cliente tenha optado por ficar excluído da aplicação das referidas Cláusulas.</w:t>
      </w:r>
    </w:p>
    <w:p w:rsidR="00DC572C" w:rsidRPr="008D6EF7" w:rsidRDefault="00A95416" w:rsidP="00BF75F8">
      <w:pPr>
        <w:pStyle w:val="ProductList-Body"/>
        <w:spacing w:after="120"/>
      </w:pPr>
      <w:r w:rsidRPr="008D6EF7">
        <w:rPr>
          <w:rFonts w:ascii="Calibri" w:eastAsia="Calibri" w:hAnsi="Calibri" w:cs="Arial"/>
          <w:szCs w:val="18"/>
        </w:rPr>
        <w:t>As Cláusulas Contratuais-Tipo da UE são aplicáveis aos Serviços de Consultoria após confirmação de ServicesEUMC@microsoft.com. O processo de obtenção desta confirmação pode ser iniciado em http://aka.ms/ServicesEUMC</w:t>
      </w:r>
    </w:p>
    <w:p w:rsidR="00BF75F8" w:rsidRPr="008D6EF7" w:rsidRDefault="00A95416" w:rsidP="00BF75F8">
      <w:pPr>
        <w:pStyle w:val="ProductList-Body"/>
        <w:spacing w:after="120"/>
      </w:pPr>
      <w:r w:rsidRPr="008D6EF7">
        <w:rPr>
          <w:rFonts w:ascii="Calibri" w:eastAsia="Calibri" w:hAnsi="Calibri" w:cs="Arial"/>
          <w:szCs w:val="18"/>
        </w:rP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descritas no Artigo 46.º do RGPD e estas transferências e salvaguardas serão documentadas em conformidade com o Artigo 30(2) do RGPD.</w:t>
      </w:r>
      <w:r w:rsidR="00156B18" w:rsidRPr="008D6EF7">
        <w:rPr>
          <w:rFonts w:ascii="Calibri" w:eastAsia="Calibri" w:hAnsi="Calibri" w:cs="Arial"/>
          <w:szCs w:val="18"/>
        </w:rPr>
        <w:t xml:space="preserve"> </w:t>
      </w:r>
      <w:r w:rsidRPr="008D6EF7">
        <w:rPr>
          <w:rFonts w:ascii="Calibri" w:eastAsia="Calibri" w:hAnsi="Calibri" w:cs="Arial"/>
          <w:szCs w:val="18"/>
        </w:rPr>
        <w:t>Além disso, a Microsoft está certificada de acordo com os Quadros de Proteção da Privacidade (Privacy Shield) UE-EUA e Suíça-EUA e os compromissos que estes implicam. A Microsoft concorda em notificar o Cliente na eventualidade de determinar que já não consegue cumprir as suas obrigações para prestar o mesmo nível de proteção exigido pelos princípios da Privacy Shield.</w:t>
      </w:r>
    </w:p>
    <w:p w:rsidR="00BF75F8" w:rsidRPr="008D6EF7" w:rsidRDefault="00BF75F8" w:rsidP="00BF75F8">
      <w:pPr>
        <w:pStyle w:val="ProductList-Body"/>
      </w:pPr>
    </w:p>
    <w:p w:rsidR="00BF75F8" w:rsidRPr="008D6EF7" w:rsidRDefault="00A95416" w:rsidP="00BF75F8">
      <w:pPr>
        <w:pStyle w:val="ProductList-SubSubSectionHeading"/>
        <w:outlineLvl w:val="2"/>
      </w:pPr>
      <w:r w:rsidRPr="008D6EF7">
        <w:rPr>
          <w:rFonts w:ascii="Calibri" w:eastAsia="Calibri" w:hAnsi="Calibri" w:cs="Arial"/>
          <w:szCs w:val="18"/>
        </w:rPr>
        <w:t>Compromisso de Confidencialidade do Subcontratante</w:t>
      </w:r>
    </w:p>
    <w:p w:rsidR="00BF75F8" w:rsidRPr="008D6EF7" w:rsidRDefault="00A95416" w:rsidP="00BF75F8">
      <w:pPr>
        <w:pStyle w:val="ProductList-Body"/>
      </w:pPr>
      <w:r w:rsidRPr="008D6EF7">
        <w:rPr>
          <w:rFonts w:ascii="Calibri" w:eastAsia="Calibri" w:hAnsi="Calibri" w:cs="Calibri"/>
          <w:szCs w:val="18"/>
          <w:lang w:eastAsia="zh-CN"/>
        </w:rPr>
        <w:t xml:space="preserve">A Microsoft assegurará que o seu pessoal envolvido no tratamento de Dados de Suporte e Consultoria, bem como de Dados Pessoais (i) irá tratar os referidos dados apenas mediante instruções do Cliente; e (iii) estará obrigado a manter a confidencialidade e segurança dos referidos dados, mesmo depois de terminado o seu contrato. A Microsoft </w:t>
      </w:r>
      <w:r w:rsidRPr="008D6EF7">
        <w:rPr>
          <w:rFonts w:ascii="Calibri" w:eastAsia="Calibri" w:hAnsi="Calibri" w:cs="Calibri"/>
          <w:color w:val="000000"/>
          <w:szCs w:val="18"/>
          <w:lang w:eastAsia="zh-CN"/>
        </w:rPr>
        <w:t xml:space="preserve">deverá fornecer formação e sensibilização periódicas e obrigatórias sobre segurança e privacidade dos dados aos seus empregados com acesso aos Dados de Suporte e Consultoria </w:t>
      </w:r>
      <w:r w:rsidRPr="008D6EF7">
        <w:rPr>
          <w:rFonts w:ascii="Calibri" w:eastAsia="Calibri" w:hAnsi="Calibri" w:cs="Calibri"/>
          <w:szCs w:val="18"/>
          <w:lang w:eastAsia="zh-CN"/>
        </w:rPr>
        <w:t>de acordo com as leis aplicáveis à Microsoft, enquanto fornecedor de serviços de TI profissionais, e as normas da indústria.</w:t>
      </w:r>
    </w:p>
    <w:p w:rsidR="00BF75F8" w:rsidRPr="008D6EF7" w:rsidRDefault="00BF75F8" w:rsidP="00BF75F8">
      <w:pPr>
        <w:pStyle w:val="ProductList-Body"/>
      </w:pPr>
    </w:p>
    <w:p w:rsidR="00BF75F8" w:rsidRPr="008D6EF7" w:rsidRDefault="00A95416" w:rsidP="00BF75F8">
      <w:pPr>
        <w:pStyle w:val="ProductList-SubSubSectionHeading"/>
        <w:outlineLvl w:val="2"/>
      </w:pPr>
      <w:r w:rsidRPr="008D6EF7">
        <w:rPr>
          <w:rFonts w:ascii="Calibri" w:eastAsia="Calibri" w:hAnsi="Calibri" w:cs="Arial"/>
          <w:szCs w:val="18"/>
        </w:rPr>
        <w:t xml:space="preserve">Notificação e Controlos do Recurso a Subcontratantes Ulteriores </w:t>
      </w:r>
    </w:p>
    <w:p w:rsidR="00BF75F8" w:rsidRPr="008D6EF7" w:rsidRDefault="00A95416" w:rsidP="00BF75F8">
      <w:pPr>
        <w:pStyle w:val="ProductList-Body"/>
        <w:spacing w:after="120"/>
      </w:pPr>
      <w:r w:rsidRPr="008D6EF7">
        <w:rPr>
          <w:rFonts w:ascii="Calibri" w:eastAsia="Calibri" w:hAnsi="Calibri" w:cs="Arial"/>
          <w:szCs w:val="18"/>
        </w:rPr>
        <w:t xml:space="preserve">A Microsoft poderá contratar terceiros para fornecer serviços em seu nome. O Cliente autoriza a contratação destes terceiros e de Afiliadas da Microsoft como Subcontratantes Ulteriores. As autorizações acima referidas constituem o consentimento prévio por escrito do Cliente, para a subcontratação pela Microsoft do tratamento de Dados de Suporte e Consultoria, bem como de Dados Pessoais, quando tal consentimento for exigido ao abrigo das Cláusulas </w:t>
      </w:r>
      <w:r w:rsidR="00156B18" w:rsidRPr="008D6EF7">
        <w:rPr>
          <w:rFonts w:ascii="Calibri" w:eastAsia="Calibri" w:hAnsi="Calibri" w:cs="Arial"/>
          <w:szCs w:val="18"/>
        </w:rPr>
        <w:t>Contratuais-Tipo</w:t>
      </w:r>
      <w:r w:rsidRPr="008D6EF7">
        <w:rPr>
          <w:rFonts w:ascii="Calibri" w:eastAsia="Calibri" w:hAnsi="Calibri" w:cs="Arial"/>
          <w:szCs w:val="18"/>
        </w:rPr>
        <w:t xml:space="preserve"> ou das Disposições do RGPD. A Microsoft é responsável pelo cumprimento por parte dos seus Subcontratantes Ulteriores das obrigações da Microsoft previstas na presente Adenda. Ao contratar qualquer Subcontratante Ulterior, a Microsoft irá garantir, através de um contrato escrito, que o Subcontratante Ulterior apenas poderá aceder e utilizar os Dados de Suporte e Consultoria, bem como os Dados Pessoais, para fornecer os serviços para os quais foram contratados pela Microsoft, e que está proibido de utilizar esses dados para qualquer outra finalidade.</w:t>
      </w:r>
      <w:r w:rsidR="00156B18" w:rsidRPr="008D6EF7">
        <w:rPr>
          <w:rFonts w:ascii="Calibri" w:eastAsia="Calibri" w:hAnsi="Calibri" w:cs="Arial"/>
          <w:szCs w:val="18"/>
        </w:rPr>
        <w:t xml:space="preserve"> </w:t>
      </w:r>
      <w:r w:rsidRPr="008D6EF7">
        <w:rPr>
          <w:rFonts w:ascii="Calibri" w:eastAsia="Calibri" w:hAnsi="Calibri" w:cs="Arial"/>
          <w:szCs w:val="18"/>
        </w:rPr>
        <w:t xml:space="preserve">A Microsoft é responsável pelo cumprimento por parte dos seus Subcontratantes Ulteriores das obrigações previstas nesta Adenda. </w:t>
      </w:r>
    </w:p>
    <w:p w:rsidR="00F4555A" w:rsidRPr="008D6EF7" w:rsidRDefault="00A95416" w:rsidP="00BF75F8">
      <w:pPr>
        <w:pStyle w:val="ProductList-Body"/>
        <w:spacing w:after="120"/>
      </w:pPr>
      <w:r w:rsidRPr="008D6EF7">
        <w:rPr>
          <w:rFonts w:ascii="Calibri" w:eastAsia="Calibri" w:hAnsi="Calibri" w:cs="Arial"/>
          <w:szCs w:val="18"/>
        </w:rPr>
        <w:t>A lista dos atuais Subcontratantes Ulteriores da Microsoft para os Serviços de Suporte encontra-se disponível em: https://aka.ms/servicesapprovedsuppliers (este URL poderá ser ocasionalmente atualizado pela Microsoft). A Microsoft poderá, de tempos a tempos, contratar novos Subcontratantes Ulteriores para os Serviços de Suporte. A Microsoft notificará o Cliente (ao atualizar o sítio web e fornecer ao Cliente um mecanismo para ser notificado da referida atualização) de qualquer novo Subcontratante Ulterior, pelo menos 30 dias antes de conceder acesso ao Subcontratante Ulterior em causa, a Dados de Suporte e Consultoria ou a Dados Pessoais.</w:t>
      </w:r>
    </w:p>
    <w:p w:rsidR="00DC572C" w:rsidRPr="008D6EF7" w:rsidRDefault="00A95416" w:rsidP="00BF75F8">
      <w:pPr>
        <w:pStyle w:val="ProductList-Body"/>
        <w:spacing w:after="120"/>
      </w:pPr>
      <w:r w:rsidRPr="008D6EF7">
        <w:rPr>
          <w:rFonts w:ascii="Calibri" w:eastAsia="Calibri" w:hAnsi="Calibri" w:cs="Arial"/>
          <w:szCs w:val="18"/>
        </w:rPr>
        <w:t>Está disponível uma lista dos Subcontratantes Ulteriores da Microsoft para os Serviços de Consultoria mediante pedido.</w:t>
      </w:r>
    </w:p>
    <w:p w:rsidR="00BF75F8" w:rsidRPr="008D6EF7" w:rsidRDefault="00A95416" w:rsidP="00BF75F8">
      <w:pPr>
        <w:pStyle w:val="ProductList-Body"/>
        <w:spacing w:after="120"/>
      </w:pPr>
      <w:r w:rsidRPr="008D6EF7">
        <w:rPr>
          <w:rFonts w:ascii="Calibri" w:eastAsia="Calibri" w:hAnsi="Calibri" w:cs="Arial"/>
          <w:szCs w:val="18"/>
        </w:rPr>
        <w:t>Se o Cliente não aprovar um novo Subcontratante Ulterior, o Cliente poderá rescindir o Pedido de Serviços Empresariais relativo aos Serviços Profissionais afetados, sem qualquer sanção por fornecer, antes do fim do período da notificação em causa, notificação por escrito da cessação que inclua uma explicação dos motivos da não aprovação.</w:t>
      </w:r>
    </w:p>
    <w:p w:rsidR="00BF75F8" w:rsidRPr="008D6EF7" w:rsidRDefault="00BF75F8" w:rsidP="00BF75F8">
      <w:pPr>
        <w:pStyle w:val="ProductList-SubSubSectionHeading"/>
        <w:outlineLvl w:val="2"/>
      </w:pPr>
      <w:bookmarkStart w:id="18" w:name="_Toc489605586"/>
    </w:p>
    <w:p w:rsidR="00BF75F8" w:rsidRPr="008D6EF7" w:rsidRDefault="00A95416" w:rsidP="00BF75F8">
      <w:pPr>
        <w:pStyle w:val="ProductList-SectionHeading"/>
        <w:tabs>
          <w:tab w:val="center" w:pos="5400"/>
        </w:tabs>
        <w:outlineLvl w:val="0"/>
      </w:pPr>
      <w:r w:rsidRPr="008D6EF7">
        <w:rPr>
          <w:rFonts w:ascii="Calibri Light" w:eastAsia="Calibri Light" w:hAnsi="Calibri Light" w:cs="Arial"/>
          <w:szCs w:val="40"/>
        </w:rPr>
        <w:t xml:space="preserve">Como Contactar a Microsoft </w:t>
      </w:r>
    </w:p>
    <w:bookmarkEnd w:id="18"/>
    <w:p w:rsidR="003C682E" w:rsidRPr="008D6EF7" w:rsidRDefault="00A95416" w:rsidP="00544BB5">
      <w:pPr>
        <w:suppressAutoHyphens/>
        <w:overflowPunct w:val="0"/>
        <w:autoSpaceDE w:val="0"/>
        <w:autoSpaceDN w:val="0"/>
        <w:adjustRightInd w:val="0"/>
        <w:spacing w:after="0" w:line="240" w:lineRule="auto"/>
        <w:textAlignment w:val="baseline"/>
        <w:outlineLvl w:val="0"/>
        <w:rPr>
          <w:sz w:val="18"/>
        </w:rPr>
      </w:pPr>
      <w:r w:rsidRPr="008D6EF7">
        <w:rPr>
          <w:rFonts w:ascii="Calibri" w:eastAsia="Calibri" w:hAnsi="Calibri" w:cs="Arial"/>
          <w:sz w:val="18"/>
          <w:szCs w:val="18"/>
        </w:rP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14" w:history="1">
        <w:r w:rsidRPr="008D6EF7">
          <w:rPr>
            <w:rFonts w:ascii="Calibri" w:eastAsia="Calibri" w:hAnsi="Calibri" w:cs="Arial"/>
            <w:color w:val="0563C1"/>
            <w:sz w:val="18"/>
            <w:szCs w:val="18"/>
            <w:u w:val="single"/>
          </w:rPr>
          <w:t>http://go.microsoft.com/?linkid=9846224</w:t>
        </w:r>
      </w:hyperlink>
    </w:p>
    <w:p w:rsidR="003C682E" w:rsidRPr="008D6EF7" w:rsidRDefault="003C682E" w:rsidP="00544BB5">
      <w:pPr>
        <w:suppressAutoHyphens/>
        <w:overflowPunct w:val="0"/>
        <w:autoSpaceDE w:val="0"/>
        <w:autoSpaceDN w:val="0"/>
        <w:adjustRightInd w:val="0"/>
        <w:spacing w:after="0" w:line="240" w:lineRule="auto"/>
        <w:textAlignment w:val="baseline"/>
        <w:outlineLvl w:val="0"/>
        <w:rPr>
          <w:sz w:val="18"/>
        </w:rPr>
      </w:pPr>
    </w:p>
    <w:p w:rsidR="00544BB5" w:rsidRPr="008D6EF7" w:rsidRDefault="00A95416" w:rsidP="00544BB5">
      <w:pPr>
        <w:suppressAutoHyphens/>
        <w:overflowPunct w:val="0"/>
        <w:autoSpaceDE w:val="0"/>
        <w:autoSpaceDN w:val="0"/>
        <w:adjustRightInd w:val="0"/>
        <w:spacing w:after="0" w:line="240" w:lineRule="auto"/>
        <w:textAlignment w:val="baseline"/>
        <w:outlineLvl w:val="0"/>
        <w:rPr>
          <w:sz w:val="18"/>
        </w:rPr>
      </w:pPr>
      <w:r w:rsidRPr="008D6EF7">
        <w:rPr>
          <w:rFonts w:ascii="Calibri" w:eastAsia="Calibri" w:hAnsi="Calibri" w:cs="Arial"/>
          <w:sz w:val="18"/>
          <w:szCs w:val="18"/>
        </w:rPr>
        <w:t>A morada física da Microsoft é:</w:t>
      </w:r>
    </w:p>
    <w:p w:rsidR="00544BB5" w:rsidRPr="008D6EF7" w:rsidRDefault="00A95416" w:rsidP="00B0434E">
      <w:pPr>
        <w:suppressAutoHyphens/>
        <w:overflowPunct w:val="0"/>
        <w:autoSpaceDE w:val="0"/>
        <w:autoSpaceDN w:val="0"/>
        <w:adjustRightInd w:val="0"/>
        <w:spacing w:after="0" w:line="240" w:lineRule="auto"/>
        <w:ind w:firstLine="720"/>
        <w:textAlignment w:val="baseline"/>
        <w:outlineLvl w:val="0"/>
        <w:rPr>
          <w:b/>
          <w:sz w:val="18"/>
        </w:rPr>
      </w:pPr>
      <w:r w:rsidRPr="008D6EF7">
        <w:rPr>
          <w:rFonts w:ascii="Calibri" w:eastAsia="Calibri" w:hAnsi="Calibri" w:cs="Arial"/>
          <w:b/>
          <w:sz w:val="18"/>
          <w:szCs w:val="18"/>
        </w:rPr>
        <w:t>Privacidade do Serviço Empresarial da Microsoft</w:t>
      </w:r>
    </w:p>
    <w:p w:rsidR="00544BB5" w:rsidRPr="008D6EF7" w:rsidRDefault="00A95416" w:rsidP="00537BB8">
      <w:pPr>
        <w:suppressAutoHyphens/>
        <w:overflowPunct w:val="0"/>
        <w:autoSpaceDE w:val="0"/>
        <w:autoSpaceDN w:val="0"/>
        <w:adjustRightInd w:val="0"/>
        <w:spacing w:after="0" w:line="240" w:lineRule="auto"/>
        <w:ind w:left="720"/>
        <w:textAlignment w:val="baseline"/>
        <w:outlineLvl w:val="0"/>
        <w:rPr>
          <w:sz w:val="18"/>
        </w:rPr>
      </w:pPr>
      <w:r w:rsidRPr="008D6EF7">
        <w:rPr>
          <w:rFonts w:ascii="Calibri" w:eastAsia="Calibri" w:hAnsi="Calibri" w:cs="Arial"/>
          <w:sz w:val="18"/>
          <w:szCs w:val="18"/>
        </w:rPr>
        <w:t>Microsoft Corporation</w:t>
      </w:r>
    </w:p>
    <w:p w:rsidR="00544BB5" w:rsidRPr="008D6EF7" w:rsidRDefault="00A95416" w:rsidP="00537BB8">
      <w:pPr>
        <w:suppressAutoHyphens/>
        <w:overflowPunct w:val="0"/>
        <w:autoSpaceDE w:val="0"/>
        <w:autoSpaceDN w:val="0"/>
        <w:adjustRightInd w:val="0"/>
        <w:spacing w:after="0" w:line="240" w:lineRule="auto"/>
        <w:ind w:left="720"/>
        <w:textAlignment w:val="baseline"/>
        <w:outlineLvl w:val="0"/>
        <w:rPr>
          <w:sz w:val="18"/>
        </w:rPr>
      </w:pPr>
      <w:r w:rsidRPr="008D6EF7">
        <w:rPr>
          <w:rFonts w:ascii="Calibri" w:eastAsia="Calibri" w:hAnsi="Calibri" w:cs="Arial"/>
          <w:sz w:val="18"/>
          <w:szCs w:val="18"/>
        </w:rPr>
        <w:t>One Microsoft Way</w:t>
      </w:r>
    </w:p>
    <w:p w:rsidR="00544BB5" w:rsidRPr="008D6EF7" w:rsidRDefault="00A95416" w:rsidP="00537BB8">
      <w:pPr>
        <w:suppressAutoHyphens/>
        <w:overflowPunct w:val="0"/>
        <w:autoSpaceDE w:val="0"/>
        <w:autoSpaceDN w:val="0"/>
        <w:adjustRightInd w:val="0"/>
        <w:spacing w:after="0" w:line="240" w:lineRule="auto"/>
        <w:ind w:left="720"/>
        <w:textAlignment w:val="baseline"/>
        <w:outlineLvl w:val="0"/>
        <w:rPr>
          <w:sz w:val="18"/>
        </w:rPr>
      </w:pPr>
      <w:r w:rsidRPr="008D6EF7">
        <w:rPr>
          <w:rFonts w:ascii="Calibri" w:eastAsia="Calibri" w:hAnsi="Calibri" w:cs="Arial"/>
          <w:sz w:val="18"/>
          <w:szCs w:val="18"/>
        </w:rPr>
        <w:t>Redmond, Washington 98052 USA</w:t>
      </w:r>
    </w:p>
    <w:p w:rsidR="003C682E" w:rsidRPr="008D6EF7" w:rsidRDefault="003C682E" w:rsidP="00BF75F8">
      <w:pPr>
        <w:suppressAutoHyphens/>
        <w:overflowPunct w:val="0"/>
        <w:autoSpaceDE w:val="0"/>
        <w:autoSpaceDN w:val="0"/>
        <w:adjustRightInd w:val="0"/>
        <w:spacing w:after="0" w:line="240" w:lineRule="auto"/>
        <w:textAlignment w:val="baseline"/>
        <w:outlineLvl w:val="0"/>
        <w:rPr>
          <w:sz w:val="18"/>
        </w:rPr>
      </w:pPr>
    </w:p>
    <w:p w:rsidR="00BF75F8" w:rsidRPr="008D6EF7" w:rsidRDefault="00A95416" w:rsidP="00BF75F8">
      <w:pPr>
        <w:suppressAutoHyphens/>
        <w:overflowPunct w:val="0"/>
        <w:autoSpaceDE w:val="0"/>
        <w:autoSpaceDN w:val="0"/>
        <w:adjustRightInd w:val="0"/>
        <w:spacing w:after="0" w:line="240" w:lineRule="auto"/>
        <w:textAlignment w:val="baseline"/>
        <w:outlineLvl w:val="0"/>
        <w:rPr>
          <w:sz w:val="18"/>
        </w:rPr>
      </w:pPr>
      <w:r w:rsidRPr="008D6EF7">
        <w:rPr>
          <w:rFonts w:ascii="Calibri" w:eastAsia="Calibri" w:hAnsi="Calibri" w:cs="Arial"/>
          <w:sz w:val="18"/>
          <w:szCs w:val="18"/>
        </w:rPr>
        <w:t>A Microsoft Ireland Operations Limited é o representante da proteção de dados da Microsoft para o Espaço Económico Europeu e Suíça. O representante da privacidade da Microsoft Ireland Operations Limited pode ser contactado através do seguinte endereço:</w:t>
      </w:r>
    </w:p>
    <w:p w:rsidR="00BF75F8" w:rsidRPr="008D6EF7" w:rsidRDefault="00A95416" w:rsidP="00B0434E">
      <w:pPr>
        <w:suppressAutoHyphens/>
        <w:overflowPunct w:val="0"/>
        <w:autoSpaceDE w:val="0"/>
        <w:autoSpaceDN w:val="0"/>
        <w:adjustRightInd w:val="0"/>
        <w:spacing w:after="0" w:line="240" w:lineRule="auto"/>
        <w:ind w:left="720"/>
        <w:textAlignment w:val="baseline"/>
        <w:outlineLvl w:val="0"/>
        <w:rPr>
          <w:sz w:val="18"/>
        </w:rPr>
      </w:pPr>
      <w:r w:rsidRPr="008D6EF7">
        <w:rPr>
          <w:rFonts w:ascii="Calibri" w:eastAsia="Calibri" w:hAnsi="Calibri" w:cs="Arial"/>
          <w:b/>
          <w:sz w:val="18"/>
          <w:szCs w:val="18"/>
        </w:rPr>
        <w:t>Microsoft Ireland Operations, Ltd</w:t>
      </w:r>
      <w:r w:rsidRPr="008D6EF7">
        <w:rPr>
          <w:rFonts w:ascii="Calibri" w:eastAsia="Calibri" w:hAnsi="Calibri" w:cs="Arial"/>
          <w:sz w:val="18"/>
          <w:szCs w:val="18"/>
        </w:rPr>
        <w:t>.</w:t>
      </w:r>
    </w:p>
    <w:p w:rsidR="00BF75F8" w:rsidRPr="008D6EF7" w:rsidRDefault="00A95416" w:rsidP="00B0434E">
      <w:pPr>
        <w:suppressAutoHyphens/>
        <w:overflowPunct w:val="0"/>
        <w:autoSpaceDE w:val="0"/>
        <w:autoSpaceDN w:val="0"/>
        <w:adjustRightInd w:val="0"/>
        <w:spacing w:after="0" w:line="240" w:lineRule="auto"/>
        <w:ind w:left="720"/>
        <w:textAlignment w:val="baseline"/>
        <w:outlineLvl w:val="0"/>
        <w:rPr>
          <w:sz w:val="18"/>
        </w:rPr>
      </w:pPr>
      <w:r w:rsidRPr="008D6EF7">
        <w:rPr>
          <w:rFonts w:ascii="Calibri" w:eastAsia="Calibri" w:hAnsi="Calibri" w:cs="Arial"/>
          <w:sz w:val="18"/>
          <w:szCs w:val="18"/>
        </w:rPr>
        <w:t>Attn: Data Protection</w:t>
      </w:r>
    </w:p>
    <w:p w:rsidR="00BF75F8" w:rsidRPr="008D6EF7" w:rsidRDefault="00A95416" w:rsidP="00B0434E">
      <w:pPr>
        <w:pStyle w:val="ProductList-Body"/>
        <w:ind w:left="720"/>
      </w:pPr>
      <w:r w:rsidRPr="008D6EF7">
        <w:rPr>
          <w:rFonts w:ascii="Calibri" w:eastAsia="Calibri" w:hAnsi="Calibri" w:cs="Arial"/>
          <w:szCs w:val="18"/>
        </w:rPr>
        <w:t>One Microsoft Place</w:t>
      </w:r>
    </w:p>
    <w:p w:rsidR="00BF75F8" w:rsidRPr="008D6EF7" w:rsidRDefault="00A95416" w:rsidP="00B0434E">
      <w:pPr>
        <w:pStyle w:val="ProductList-Body"/>
        <w:ind w:left="720"/>
      </w:pPr>
      <w:r w:rsidRPr="008D6EF7">
        <w:rPr>
          <w:rFonts w:ascii="Calibri" w:eastAsia="Calibri" w:hAnsi="Calibri" w:cs="Arial"/>
          <w:szCs w:val="18"/>
        </w:rPr>
        <w:t>South County Business Park</w:t>
      </w:r>
    </w:p>
    <w:p w:rsidR="00BF75F8" w:rsidRPr="008D6EF7" w:rsidRDefault="00A95416" w:rsidP="00B0434E">
      <w:pPr>
        <w:pStyle w:val="ProductList-Body"/>
        <w:ind w:left="720"/>
      </w:pPr>
      <w:r w:rsidRPr="008D6EF7">
        <w:rPr>
          <w:rFonts w:ascii="Calibri" w:eastAsia="Calibri" w:hAnsi="Calibri" w:cs="Arial"/>
          <w:szCs w:val="18"/>
        </w:rPr>
        <w:t>Leopardstown</w:t>
      </w:r>
    </w:p>
    <w:p w:rsidR="00BF75F8" w:rsidRPr="008D6EF7" w:rsidRDefault="00A95416" w:rsidP="00B0434E">
      <w:pPr>
        <w:pStyle w:val="ProductList-Body"/>
        <w:ind w:left="720"/>
      </w:pPr>
      <w:r w:rsidRPr="008D6EF7">
        <w:rPr>
          <w:rFonts w:ascii="Calibri" w:eastAsia="Calibri" w:hAnsi="Calibri" w:cs="Arial"/>
          <w:szCs w:val="18"/>
        </w:rPr>
        <w:t>Dublin 18, D18 P521, Irlanda</w:t>
      </w:r>
      <w:bookmarkStart w:id="19" w:name="_Hlk495669384"/>
      <w:bookmarkStart w:id="20" w:name="_Toc431459514"/>
      <w:bookmarkStart w:id="21" w:name="DataProcessingTerms"/>
      <w:bookmarkStart w:id="22" w:name="_Toc489605587"/>
    </w:p>
    <w:p w:rsidR="00BF75F8" w:rsidRPr="008D6EF7" w:rsidRDefault="00A95416" w:rsidP="00BF75F8">
      <w:pPr>
        <w:pStyle w:val="ProductList-SectionHeading"/>
        <w:tabs>
          <w:tab w:val="center" w:pos="5400"/>
        </w:tabs>
        <w:spacing w:before="240"/>
        <w:outlineLvl w:val="0"/>
      </w:pPr>
      <w:r w:rsidRPr="008D6EF7">
        <w:rPr>
          <w:rFonts w:ascii="Calibri Light" w:eastAsia="Calibri Light" w:hAnsi="Calibri Light" w:cs="Arial"/>
          <w:szCs w:val="40"/>
        </w:rPr>
        <w:t>Segurança dos Dados</w:t>
      </w:r>
      <w:bookmarkEnd w:id="19"/>
      <w:r w:rsidRPr="008D6EF7">
        <w:rPr>
          <w:rFonts w:ascii="Calibri Light" w:eastAsia="Calibri Light" w:hAnsi="Calibri Light" w:cs="Arial"/>
          <w:szCs w:val="40"/>
        </w:rPr>
        <w:t xml:space="preserve"> </w:t>
      </w:r>
    </w:p>
    <w:p w:rsidR="00BF75F8" w:rsidRPr="008D6EF7" w:rsidRDefault="00A95416" w:rsidP="00BF75F8">
      <w:pPr>
        <w:pStyle w:val="ProductList-SubSubSectionHeading"/>
        <w:outlineLvl w:val="2"/>
      </w:pPr>
      <w:r w:rsidRPr="008D6EF7">
        <w:rPr>
          <w:rFonts w:ascii="Calibri" w:eastAsia="Calibri" w:hAnsi="Calibri" w:cs="Arial"/>
          <w:szCs w:val="18"/>
        </w:rPr>
        <w:t>Práticas e Políticas de Segurança</w:t>
      </w:r>
    </w:p>
    <w:p w:rsidR="00585D68" w:rsidRPr="008D6EF7" w:rsidRDefault="00A95416" w:rsidP="00585D68">
      <w:pPr>
        <w:pStyle w:val="ProductList-SubSubSectionHeading"/>
        <w:spacing w:after="120"/>
        <w:outlineLvl w:val="2"/>
        <w:rPr>
          <w:b w:val="0"/>
          <w:color w:val="auto"/>
        </w:rPr>
      </w:pPr>
      <w:r w:rsidRPr="008D6EF7">
        <w:rPr>
          <w:rFonts w:ascii="Calibri" w:eastAsia="Calibri" w:hAnsi="Calibri" w:cs="Arial"/>
          <w:b w:val="0"/>
          <w:color w:val="auto"/>
          <w:szCs w:val="18"/>
        </w:rPr>
        <w:t xml:space="preserve">A Microsoft aplicará e manterá medidas técnicas e organizativas adequadas para proteger os Dados de Suporte e Consultoria, bem como os Dados Pessoais. </w:t>
      </w:r>
      <w:r w:rsidR="004A570C" w:rsidRPr="008D6EF7">
        <w:rPr>
          <w:rFonts w:ascii="Calibri" w:eastAsia="Calibri" w:hAnsi="Calibri" w:cs="Arial"/>
          <w:b w:val="0"/>
          <w:color w:val="auto"/>
          <w:szCs w:val="18"/>
        </w:rPr>
        <w:t>Estas medidas</w:t>
      </w:r>
      <w:r w:rsidRPr="008D6EF7">
        <w:rPr>
          <w:rFonts w:ascii="Calibri" w:eastAsia="Calibri" w:hAnsi="Calibri" w:cs="Arial"/>
          <w:b w:val="0"/>
          <w:color w:val="auto"/>
          <w:szCs w:val="18"/>
        </w:rPr>
        <w:t xml:space="preserve"> serão estabelecidas numa Política de Segurança da Microsoft. A Microsoft disponibilizará essa Política ao Cliente, bem como descrições dos controlos de segurança aplicáveis aos Serviços Profissionais e outras informações razoavelmente solicitadas pelo Cliente relativamente às práticas e políticas de segurança da Microsoft. </w:t>
      </w:r>
    </w:p>
    <w:p w:rsidR="00585D68" w:rsidRPr="008D6EF7" w:rsidRDefault="00A95416" w:rsidP="00585D68">
      <w:pPr>
        <w:pStyle w:val="ProductList-SubSubSectionHeading"/>
        <w:spacing w:after="120"/>
        <w:outlineLvl w:val="2"/>
        <w:rPr>
          <w:b w:val="0"/>
          <w:color w:val="auto"/>
        </w:rPr>
      </w:pPr>
      <w:r w:rsidRPr="008D6EF7">
        <w:rPr>
          <w:rFonts w:ascii="Calibri" w:eastAsia="Calibri" w:hAnsi="Calibri" w:cs="Arial"/>
          <w:b w:val="0"/>
          <w:color w:val="auto"/>
          <w:szCs w:val="18"/>
        </w:rPr>
        <w:t>Além disso, as referidas medidas cumprirão os requisitos estabelecidos nas normas ISO 27001, ISO 27002, e ISO 27018. Os Serviços Profissionais também aplicam e mantêm as medidas de segurança previstas no Documento 1 relativas à proteção dos Dados de Suporte e Consultoria.</w:t>
      </w:r>
    </w:p>
    <w:p w:rsidR="00BF75F8" w:rsidRPr="008D6EF7" w:rsidRDefault="00A95416" w:rsidP="00585D68">
      <w:pPr>
        <w:pStyle w:val="ProductList-SubSubSectionHeading"/>
        <w:spacing w:after="120"/>
        <w:outlineLvl w:val="2"/>
        <w:rPr>
          <w:b w:val="0"/>
          <w:color w:val="auto"/>
        </w:rPr>
      </w:pPr>
      <w:r w:rsidRPr="008D6EF7">
        <w:rPr>
          <w:rFonts w:ascii="Calibri" w:eastAsia="Calibri" w:hAnsi="Calibri" w:cs="Arial"/>
          <w:b w:val="0"/>
          <w:color w:val="auto"/>
          <w:szCs w:val="18"/>
        </w:rPr>
        <w:t>A Microsoft não eliminará as normas ISO 27001, ISO 27002 ou ISO 27018, exceto se já não forem utilizadas no setor e se forem substituídas por uma sucessora (no caso de existir).</w:t>
      </w:r>
    </w:p>
    <w:p w:rsidR="00BF75F8" w:rsidRPr="008D6EF7" w:rsidRDefault="00BF75F8" w:rsidP="00BF75F8">
      <w:pPr>
        <w:pStyle w:val="ProductList-SubSubSectionHeading"/>
        <w:outlineLvl w:val="2"/>
      </w:pPr>
    </w:p>
    <w:bookmarkEnd w:id="20"/>
    <w:bookmarkEnd w:id="21"/>
    <w:bookmarkEnd w:id="22"/>
    <w:p w:rsidR="00BF75F8" w:rsidRPr="008D6EF7" w:rsidRDefault="00A95416" w:rsidP="00BF75F8">
      <w:pPr>
        <w:pStyle w:val="ProductList-SubSubSectionHeading"/>
        <w:outlineLvl w:val="2"/>
      </w:pPr>
      <w:r w:rsidRPr="008D6EF7">
        <w:rPr>
          <w:rFonts w:ascii="Calibri" w:eastAsia="Calibri" w:hAnsi="Calibri" w:cs="Arial"/>
          <w:szCs w:val="18"/>
        </w:rPr>
        <w:t>Documento 1 – Medidas de Segurança</w:t>
      </w:r>
    </w:p>
    <w:p w:rsidR="00BF75F8" w:rsidRPr="008D6EF7" w:rsidRDefault="00BF75F8" w:rsidP="00BF75F8">
      <w:pPr>
        <w:pStyle w:val="ProductList-Body"/>
      </w:pPr>
    </w:p>
    <w:p w:rsidR="00F56874" w:rsidRPr="008D6EF7" w:rsidRDefault="00A95416" w:rsidP="00BF75F8">
      <w:pPr>
        <w:pStyle w:val="ProductList-Body"/>
      </w:pPr>
      <w:r w:rsidRPr="008D6EF7">
        <w:rPr>
          <w:rFonts w:ascii="Calibri" w:eastAsia="Calibri" w:hAnsi="Calibri" w:cs="Arial"/>
          <w:szCs w:val="18"/>
        </w:rPr>
        <w:t>A Microsoft implementou e irá manter as seguintes medidas de segurança que, em conjunto com os compromissos de segurança previstos na presente Adenda (incluindo as Disposições do RGPD), são da exclusiva responsabilidade da Microsoft no que diz respeito à segurança.</w:t>
      </w:r>
    </w:p>
    <w:p w:rsidR="00F56874" w:rsidRPr="008D6EF7" w:rsidRDefault="00F56874" w:rsidP="00BF75F8">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3569B5" w:rsidRPr="008D6EF7" w:rsidTr="00422AFA">
        <w:trPr>
          <w:tblHeader/>
        </w:trPr>
        <w:tc>
          <w:tcPr>
            <w:tcW w:w="2610" w:type="dxa"/>
            <w:shd w:val="clear" w:color="auto" w:fill="0072C6"/>
          </w:tcPr>
          <w:p w:rsidR="00BF75F8" w:rsidRPr="008D6EF7" w:rsidRDefault="00A95416" w:rsidP="00422AFA">
            <w:pPr>
              <w:pStyle w:val="ProductList-Body"/>
              <w:spacing w:before="20" w:after="20"/>
              <w:rPr>
                <w:color w:val="FFFFFF" w:themeColor="background1"/>
                <w:sz w:val="16"/>
                <w:szCs w:val="16"/>
              </w:rPr>
            </w:pPr>
            <w:r w:rsidRPr="008D6EF7">
              <w:rPr>
                <w:rFonts w:ascii="Calibri" w:eastAsia="Calibri" w:hAnsi="Calibri" w:cs="Arial"/>
                <w:color w:val="FFFFFF"/>
                <w:sz w:val="16"/>
                <w:szCs w:val="16"/>
              </w:rPr>
              <w:t>Domínio</w:t>
            </w:r>
          </w:p>
        </w:tc>
        <w:tc>
          <w:tcPr>
            <w:tcW w:w="8190" w:type="dxa"/>
            <w:shd w:val="clear" w:color="auto" w:fill="0072C6"/>
          </w:tcPr>
          <w:p w:rsidR="00BF75F8" w:rsidRPr="008D6EF7" w:rsidRDefault="00A95416" w:rsidP="00422AFA">
            <w:pPr>
              <w:pStyle w:val="ProductList-Body"/>
              <w:spacing w:before="20" w:after="20"/>
              <w:rPr>
                <w:color w:val="FFFFFF" w:themeColor="background1"/>
                <w:sz w:val="16"/>
                <w:szCs w:val="16"/>
              </w:rPr>
            </w:pPr>
            <w:r w:rsidRPr="008D6EF7">
              <w:rPr>
                <w:rFonts w:ascii="Calibri" w:eastAsia="Calibri" w:hAnsi="Calibri" w:cs="Arial"/>
                <w:color w:val="FFFFFF"/>
                <w:sz w:val="16"/>
                <w:szCs w:val="16"/>
              </w:rPr>
              <w:t>Práticas</w:t>
            </w:r>
          </w:p>
        </w:tc>
      </w:tr>
      <w:tr w:rsidR="003569B5" w:rsidRPr="008D6EF7" w:rsidTr="00422AFA">
        <w:tc>
          <w:tcPr>
            <w:tcW w:w="2610" w:type="dxa"/>
            <w:vAlign w:val="center"/>
          </w:tcPr>
          <w:p w:rsidR="00BF75F8" w:rsidRPr="008D6EF7" w:rsidRDefault="00A95416" w:rsidP="00422AFA">
            <w:pPr>
              <w:pStyle w:val="ProductList-Body"/>
              <w:rPr>
                <w:sz w:val="16"/>
                <w:szCs w:val="16"/>
              </w:rPr>
            </w:pPr>
            <w:r w:rsidRPr="008D6EF7">
              <w:rPr>
                <w:rFonts w:ascii="Calibri" w:eastAsia="Calibri" w:hAnsi="Calibri" w:cs="Arial"/>
                <w:sz w:val="16"/>
                <w:szCs w:val="16"/>
              </w:rPr>
              <w:t>Organização da Segurança de Informações</w:t>
            </w:r>
          </w:p>
        </w:tc>
        <w:tc>
          <w:tcPr>
            <w:tcW w:w="8190" w:type="dxa"/>
          </w:tcPr>
          <w:p w:rsidR="00BF75F8" w:rsidRPr="008D6EF7" w:rsidRDefault="00A95416" w:rsidP="00422AFA">
            <w:pPr>
              <w:pStyle w:val="ProductList-Body"/>
              <w:rPr>
                <w:b/>
                <w:sz w:val="16"/>
                <w:szCs w:val="16"/>
              </w:rPr>
            </w:pPr>
            <w:r w:rsidRPr="008D6EF7">
              <w:rPr>
                <w:rFonts w:ascii="Calibri" w:eastAsia="Calibri" w:hAnsi="Calibri" w:cs="Arial"/>
                <w:b/>
                <w:sz w:val="16"/>
                <w:szCs w:val="16"/>
              </w:rPr>
              <w:t xml:space="preserve">Propriedade da Segurança. </w:t>
            </w:r>
            <w:r w:rsidRPr="008D6EF7">
              <w:rPr>
                <w:rFonts w:ascii="Calibri" w:eastAsia="Calibri" w:hAnsi="Calibri" w:cs="Arial"/>
                <w:sz w:val="16"/>
                <w:szCs w:val="16"/>
              </w:rPr>
              <w:t>A Microsoft designou um ou mais representantes da segurança cuja responsabilidade é a coordenação e monitorização das regras e procedimentos de segurança.</w:t>
            </w:r>
          </w:p>
          <w:p w:rsidR="00BF75F8" w:rsidRPr="008D6EF7" w:rsidRDefault="00A95416" w:rsidP="00422AFA">
            <w:pPr>
              <w:pStyle w:val="ProductList-Body"/>
              <w:rPr>
                <w:b/>
                <w:sz w:val="16"/>
                <w:szCs w:val="16"/>
              </w:rPr>
            </w:pPr>
            <w:r w:rsidRPr="008D6EF7">
              <w:rPr>
                <w:rFonts w:ascii="Calibri" w:eastAsia="Calibri" w:hAnsi="Calibri" w:cs="Arial"/>
                <w:b/>
                <w:sz w:val="16"/>
                <w:szCs w:val="16"/>
              </w:rPr>
              <w:t xml:space="preserve">Funções e Responsabilidades de Segurança. </w:t>
            </w:r>
            <w:r w:rsidRPr="008D6EF7">
              <w:rPr>
                <w:rFonts w:ascii="Calibri" w:eastAsia="Calibri" w:hAnsi="Calibri" w:cs="Arial"/>
                <w:sz w:val="16"/>
                <w:szCs w:val="16"/>
              </w:rPr>
              <w:t>O pessoal da Microsoft com acesso aos Dados de Suporte e Consultoria está sujeito a obrigações de confidencialidade.</w:t>
            </w:r>
          </w:p>
          <w:p w:rsidR="00BF75F8" w:rsidRPr="008D6EF7" w:rsidRDefault="00A95416" w:rsidP="00422AFA">
            <w:pPr>
              <w:pStyle w:val="ProductList-Body"/>
              <w:rPr>
                <w:b/>
                <w:sz w:val="16"/>
                <w:szCs w:val="16"/>
              </w:rPr>
            </w:pPr>
            <w:r w:rsidRPr="008D6EF7">
              <w:rPr>
                <w:rFonts w:ascii="Calibri" w:eastAsia="Calibri" w:hAnsi="Calibri" w:cs="Arial"/>
                <w:b/>
                <w:sz w:val="16"/>
                <w:szCs w:val="16"/>
              </w:rPr>
              <w:t xml:space="preserve">Programa de Gestão de Riscos. </w:t>
            </w:r>
            <w:r w:rsidRPr="008D6EF7">
              <w:rPr>
                <w:rFonts w:ascii="Calibri" w:eastAsia="Calibri" w:hAnsi="Calibri" w:cs="Arial"/>
                <w:sz w:val="16"/>
                <w:szCs w:val="16"/>
              </w:rPr>
              <w:t>A Microsoft executou uma avaliação de riscos antes de tratar os Dados de Suporte e Consultoria.</w:t>
            </w:r>
          </w:p>
          <w:p w:rsidR="00BF75F8" w:rsidRPr="008D6EF7" w:rsidRDefault="00A95416" w:rsidP="00422AFA">
            <w:pPr>
              <w:pStyle w:val="ProductList-Body"/>
              <w:rPr>
                <w:sz w:val="16"/>
                <w:szCs w:val="16"/>
              </w:rPr>
            </w:pPr>
            <w:r w:rsidRPr="008D6EF7">
              <w:rPr>
                <w:rFonts w:ascii="Calibri" w:eastAsia="Calibri" w:hAnsi="Calibri" w:cs="Arial"/>
                <w:sz w:val="16"/>
                <w:szCs w:val="16"/>
              </w:rPr>
              <w:t>A Microsoft mantém os seus documentos de segurança em conformidade com os seus requisitos de retenção mesmo depois de deixarem de estar em vigor.</w:t>
            </w:r>
          </w:p>
        </w:tc>
      </w:tr>
      <w:tr w:rsidR="003569B5" w:rsidRPr="008D6EF7" w:rsidTr="00422AFA">
        <w:tc>
          <w:tcPr>
            <w:tcW w:w="2610" w:type="dxa"/>
            <w:vAlign w:val="center"/>
          </w:tcPr>
          <w:p w:rsidR="00BF75F8" w:rsidRPr="008D6EF7" w:rsidRDefault="00A95416" w:rsidP="00422AFA">
            <w:pPr>
              <w:pStyle w:val="ProductList-Body"/>
              <w:rPr>
                <w:sz w:val="16"/>
                <w:szCs w:val="16"/>
              </w:rPr>
            </w:pPr>
            <w:r w:rsidRPr="008D6EF7">
              <w:rPr>
                <w:rFonts w:ascii="Calibri" w:eastAsia="Calibri" w:hAnsi="Calibri" w:cs="Arial"/>
                <w:sz w:val="16"/>
                <w:szCs w:val="16"/>
              </w:rPr>
              <w:t>Gestão de Ativos</w:t>
            </w:r>
          </w:p>
        </w:tc>
        <w:tc>
          <w:tcPr>
            <w:tcW w:w="8190" w:type="dxa"/>
          </w:tcPr>
          <w:p w:rsidR="00BF75F8" w:rsidRPr="008D6EF7" w:rsidRDefault="00A95416" w:rsidP="00422AFA">
            <w:pPr>
              <w:pStyle w:val="ProductList-Body"/>
              <w:rPr>
                <w:b/>
                <w:sz w:val="16"/>
                <w:szCs w:val="16"/>
              </w:rPr>
            </w:pPr>
            <w:r w:rsidRPr="008D6EF7">
              <w:rPr>
                <w:rFonts w:ascii="Calibri" w:eastAsia="Calibri" w:hAnsi="Calibri" w:cs="Arial"/>
                <w:b/>
                <w:sz w:val="16"/>
                <w:szCs w:val="16"/>
              </w:rPr>
              <w:t xml:space="preserve">Inventário de Ativos. </w:t>
            </w:r>
            <w:r w:rsidRPr="008D6EF7">
              <w:rPr>
                <w:rFonts w:ascii="Calibri" w:eastAsia="Calibri" w:hAnsi="Calibri" w:cs="Arial"/>
                <w:sz w:val="16"/>
                <w:szCs w:val="16"/>
              </w:rPr>
              <w:t>A Microsoft mantém um inventário de todos os suportes de dados onde os Dados de Suporte e Consultoria são armazenados.</w:t>
            </w:r>
            <w:r w:rsidR="00156B18" w:rsidRPr="008D6EF7">
              <w:rPr>
                <w:rFonts w:ascii="Calibri" w:eastAsia="Calibri" w:hAnsi="Calibri" w:cs="Arial"/>
                <w:sz w:val="16"/>
                <w:szCs w:val="16"/>
              </w:rPr>
              <w:t xml:space="preserve"> </w:t>
            </w:r>
            <w:r w:rsidRPr="008D6EF7">
              <w:rPr>
                <w:rFonts w:ascii="Calibri" w:eastAsia="Calibri" w:hAnsi="Calibri" w:cs="Arial"/>
                <w:sz w:val="16"/>
                <w:szCs w:val="16"/>
              </w:rPr>
              <w:t>O acesso aos inventários desses suportes de dados está restringido ao pessoal da Microsoft que foi autorizado por escrito a ter esse acesso.</w:t>
            </w:r>
          </w:p>
          <w:p w:rsidR="00BF75F8" w:rsidRPr="008D6EF7" w:rsidRDefault="00A95416" w:rsidP="00422AFA">
            <w:pPr>
              <w:pStyle w:val="ProductList-Body"/>
              <w:rPr>
                <w:b/>
                <w:sz w:val="16"/>
                <w:szCs w:val="16"/>
              </w:rPr>
            </w:pPr>
            <w:r w:rsidRPr="008D6EF7">
              <w:rPr>
                <w:rFonts w:ascii="Calibri" w:eastAsia="Calibri" w:hAnsi="Calibri" w:cs="Arial"/>
                <w:b/>
                <w:sz w:val="16"/>
                <w:szCs w:val="16"/>
              </w:rPr>
              <w:t>Tratamento de Ativos.</w:t>
            </w:r>
          </w:p>
          <w:p w:rsidR="00BF75F8" w:rsidRPr="008D6EF7" w:rsidRDefault="00A95416" w:rsidP="00422AFA">
            <w:pPr>
              <w:pStyle w:val="ProductList-Body"/>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classifica os Dados de Suporte e Consultoria para ajudar a identificá-los e para permitir que o acesso aos mesmos seja restringido adequadamente.</w:t>
            </w:r>
          </w:p>
          <w:p w:rsidR="00BF75F8" w:rsidRPr="008D6EF7" w:rsidRDefault="00A95416" w:rsidP="00422AFA">
            <w:pPr>
              <w:pStyle w:val="ProductList-Body"/>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 xml:space="preserve">A Microsoft impõe restrições relativas à impressão dos Dados de Suporte e Consultoria e dispõe de procedimentos para eliminação dos materiais impressos que contêm Dados de Suporte e Consultoria. </w:t>
            </w:r>
          </w:p>
          <w:p w:rsidR="00BF75F8" w:rsidRPr="008D6EF7" w:rsidRDefault="00A95416" w:rsidP="00422AFA">
            <w:pPr>
              <w:pStyle w:val="ProductList-Body"/>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O pessoal da Microsoft terá de obter a autorização da Microsoft antes de armazenar Dados de Suporte e Consultoria em dispositivos portáteis, aceder remotamente aos Dados de Suporte e Consultoria ou tratar os Dados de Suporte e Consultoria fora das instalações da Microsoft.</w:t>
            </w:r>
          </w:p>
        </w:tc>
      </w:tr>
      <w:tr w:rsidR="003569B5" w:rsidRPr="008D6EF7" w:rsidTr="00422AFA">
        <w:tc>
          <w:tcPr>
            <w:tcW w:w="2610" w:type="dxa"/>
            <w:vAlign w:val="center"/>
          </w:tcPr>
          <w:p w:rsidR="00BF75F8" w:rsidRPr="008D6EF7" w:rsidRDefault="00A95416" w:rsidP="00422AFA">
            <w:pPr>
              <w:pStyle w:val="ProductList-Body"/>
              <w:rPr>
                <w:sz w:val="16"/>
                <w:szCs w:val="16"/>
              </w:rPr>
            </w:pPr>
            <w:r w:rsidRPr="008D6EF7">
              <w:rPr>
                <w:rFonts w:ascii="Calibri" w:eastAsia="Calibri" w:hAnsi="Calibri" w:cs="Arial"/>
                <w:sz w:val="16"/>
                <w:szCs w:val="16"/>
              </w:rPr>
              <w:lastRenderedPageBreak/>
              <w:t>Segurança de Recursos Humanos</w:t>
            </w:r>
          </w:p>
        </w:tc>
        <w:tc>
          <w:tcPr>
            <w:tcW w:w="8190" w:type="dxa"/>
          </w:tcPr>
          <w:p w:rsidR="00BF75F8" w:rsidRPr="008D6EF7" w:rsidRDefault="00A95416" w:rsidP="00422AFA">
            <w:pPr>
              <w:pStyle w:val="ProductList-Body"/>
              <w:rPr>
                <w:sz w:val="16"/>
                <w:szCs w:val="16"/>
              </w:rPr>
            </w:pPr>
            <w:r w:rsidRPr="008D6EF7">
              <w:rPr>
                <w:rFonts w:ascii="Calibri" w:eastAsia="Calibri" w:hAnsi="Calibri" w:cs="Arial"/>
                <w:b/>
                <w:sz w:val="16"/>
                <w:szCs w:val="16"/>
              </w:rPr>
              <w:t>Formação em Segurança</w:t>
            </w:r>
            <w:r w:rsidRPr="008D6EF7">
              <w:rPr>
                <w:rFonts w:ascii="Calibri" w:eastAsia="Calibri" w:hAnsi="Calibri" w:cs="Arial"/>
                <w:sz w:val="16"/>
                <w:szCs w:val="16"/>
              </w:rPr>
              <w:t>.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3569B5" w:rsidRPr="008D6EF7" w:rsidTr="00422AFA">
        <w:tc>
          <w:tcPr>
            <w:tcW w:w="2610" w:type="dxa"/>
            <w:vAlign w:val="center"/>
          </w:tcPr>
          <w:p w:rsidR="00BF75F8" w:rsidRPr="008D6EF7" w:rsidRDefault="00A95416" w:rsidP="00422AFA">
            <w:pPr>
              <w:pStyle w:val="ProductList-Body"/>
              <w:rPr>
                <w:sz w:val="16"/>
                <w:szCs w:val="16"/>
              </w:rPr>
            </w:pPr>
            <w:r w:rsidRPr="008D6EF7">
              <w:rPr>
                <w:rFonts w:ascii="Calibri" w:eastAsia="Calibri" w:hAnsi="Calibri" w:cs="Arial"/>
                <w:sz w:val="16"/>
                <w:szCs w:val="16"/>
              </w:rPr>
              <w:t>Segurança Física e Ambiental</w:t>
            </w:r>
          </w:p>
        </w:tc>
        <w:tc>
          <w:tcPr>
            <w:tcW w:w="8190" w:type="dxa"/>
          </w:tcPr>
          <w:p w:rsidR="00BF75F8" w:rsidRPr="008D6EF7" w:rsidRDefault="00A95416" w:rsidP="00422AFA">
            <w:pPr>
              <w:pStyle w:val="ProductList-Body"/>
              <w:rPr>
                <w:b/>
                <w:sz w:val="16"/>
                <w:szCs w:val="16"/>
              </w:rPr>
            </w:pPr>
            <w:r w:rsidRPr="008D6EF7">
              <w:rPr>
                <w:rFonts w:ascii="Calibri" w:eastAsia="Calibri" w:hAnsi="Calibri" w:cs="Arial"/>
                <w:b/>
                <w:sz w:val="16"/>
                <w:szCs w:val="16"/>
              </w:rPr>
              <w:t xml:space="preserve">Acesso Físico às Instalações. </w:t>
            </w:r>
            <w:r w:rsidRPr="008D6EF7">
              <w:rPr>
                <w:rFonts w:ascii="Calibri" w:eastAsia="Calibri" w:hAnsi="Calibri" w:cs="Arial"/>
                <w:sz w:val="16"/>
                <w:szCs w:val="16"/>
              </w:rPr>
              <w:t>A Microsoft limita o acesso às instalações onde os sistemas de informações que tratam os Dados de Suporte e Consultoria se encontram para indivíduos autorizados e identificados.</w:t>
            </w:r>
          </w:p>
          <w:p w:rsidR="00BF75F8" w:rsidRPr="008D6EF7" w:rsidRDefault="00A95416" w:rsidP="00422AFA">
            <w:pPr>
              <w:pStyle w:val="ProductList-Body"/>
              <w:rPr>
                <w:sz w:val="16"/>
                <w:szCs w:val="16"/>
              </w:rPr>
            </w:pPr>
            <w:r w:rsidRPr="008D6EF7">
              <w:rPr>
                <w:rFonts w:ascii="Calibri" w:eastAsia="Calibri" w:hAnsi="Calibri" w:cs="Arial"/>
                <w:b/>
                <w:sz w:val="16"/>
                <w:szCs w:val="16"/>
              </w:rPr>
              <w:t xml:space="preserve">Acesso Físico aos Componentes. </w:t>
            </w:r>
            <w:r w:rsidRPr="008D6EF7">
              <w:rPr>
                <w:rFonts w:ascii="Calibri" w:eastAsia="Calibri" w:hAnsi="Calibri" w:cs="Arial"/>
                <w:sz w:val="16"/>
                <w:szCs w:val="16"/>
              </w:rPr>
              <w:t>A Microsoft mantém os registos dos suportes de dados recebidos e enviados com os Dados de Suporte e Consultoria, incluindo o tipo de suportes de dados, o remetente ou destinatários autorizados, data e hora, o número de suportes de dados e os tipos de Dados de Suporte e Consultoria que contêm.</w:t>
            </w:r>
          </w:p>
          <w:p w:rsidR="00BF75F8" w:rsidRPr="008D6EF7" w:rsidRDefault="00A95416" w:rsidP="00422AFA">
            <w:pPr>
              <w:pStyle w:val="ProductList-Body"/>
              <w:rPr>
                <w:b/>
                <w:sz w:val="16"/>
                <w:szCs w:val="16"/>
              </w:rPr>
            </w:pPr>
            <w:r w:rsidRPr="008D6EF7">
              <w:rPr>
                <w:rFonts w:ascii="Calibri" w:eastAsia="Calibri" w:hAnsi="Calibri" w:cs="Arial"/>
                <w:b/>
                <w:sz w:val="16"/>
                <w:szCs w:val="16"/>
              </w:rPr>
              <w:t xml:space="preserve">Proteção contra Interrupções. </w:t>
            </w:r>
            <w:r w:rsidRPr="008D6EF7">
              <w:rPr>
                <w:rFonts w:ascii="Calibri" w:eastAsia="Calibri" w:hAnsi="Calibri" w:cs="Arial"/>
                <w:sz w:val="16"/>
                <w:szCs w:val="16"/>
              </w:rPr>
              <w:t>A Microsoft utiliza uma variedade de sistemas padrão do setor para se proteger contra perda de dados devido a falhas na fonte de alimentação ou interferências na linha.</w:t>
            </w:r>
          </w:p>
          <w:p w:rsidR="00BF75F8" w:rsidRPr="008D6EF7" w:rsidRDefault="00A95416" w:rsidP="00422AFA">
            <w:pPr>
              <w:pStyle w:val="ProductList-Body"/>
              <w:spacing w:before="40"/>
              <w:rPr>
                <w:sz w:val="16"/>
                <w:szCs w:val="16"/>
              </w:rPr>
            </w:pPr>
            <w:r w:rsidRPr="008D6EF7">
              <w:rPr>
                <w:rFonts w:ascii="Calibri" w:eastAsia="Calibri" w:hAnsi="Calibri" w:cs="Arial"/>
                <w:b/>
                <w:sz w:val="16"/>
                <w:szCs w:val="16"/>
              </w:rPr>
              <w:t>Eliminação de Componentes.</w:t>
            </w:r>
            <w:r w:rsidR="00156B18" w:rsidRPr="008D6EF7">
              <w:rPr>
                <w:rFonts w:ascii="Calibri" w:eastAsia="Calibri" w:hAnsi="Calibri" w:cs="Arial"/>
                <w:b/>
                <w:sz w:val="16"/>
                <w:szCs w:val="16"/>
              </w:rPr>
              <w:t xml:space="preserve"> </w:t>
            </w:r>
            <w:r w:rsidRPr="008D6EF7">
              <w:rPr>
                <w:rFonts w:ascii="Calibri" w:eastAsia="Calibri" w:hAnsi="Calibri" w:cs="Arial"/>
                <w:sz w:val="16"/>
                <w:szCs w:val="16"/>
              </w:rPr>
              <w:t>A Microsoft utiliza os processos padrão do setor para eliminar os Dados de Suporte e Consultoria quando estes deixam de ser precisos.</w:t>
            </w:r>
          </w:p>
        </w:tc>
      </w:tr>
      <w:tr w:rsidR="003569B5" w:rsidRPr="008D6EF7" w:rsidTr="00422AFA">
        <w:tc>
          <w:tcPr>
            <w:tcW w:w="2610" w:type="dxa"/>
            <w:tcBorders>
              <w:bottom w:val="single" w:sz="4" w:space="0" w:color="auto"/>
            </w:tcBorders>
            <w:vAlign w:val="center"/>
          </w:tcPr>
          <w:p w:rsidR="00BF75F8" w:rsidRPr="008D6EF7" w:rsidRDefault="00A95416" w:rsidP="00422AFA">
            <w:pPr>
              <w:pStyle w:val="ProductList-Body"/>
              <w:rPr>
                <w:sz w:val="16"/>
                <w:szCs w:val="16"/>
              </w:rPr>
            </w:pPr>
            <w:r w:rsidRPr="008D6EF7">
              <w:rPr>
                <w:rFonts w:ascii="Calibri" w:eastAsia="Calibri" w:hAnsi="Calibri" w:cs="Arial"/>
                <w:sz w:val="16"/>
                <w:szCs w:val="16"/>
              </w:rPr>
              <w:t>Gestão de Comunicações e Operações</w:t>
            </w:r>
          </w:p>
        </w:tc>
        <w:tc>
          <w:tcPr>
            <w:tcW w:w="8190" w:type="dxa"/>
            <w:tcBorders>
              <w:bottom w:val="single" w:sz="4" w:space="0" w:color="auto"/>
            </w:tcBorders>
          </w:tcPr>
          <w:p w:rsidR="00BF75F8" w:rsidRPr="008D6EF7" w:rsidRDefault="00A95416" w:rsidP="00422AFA">
            <w:pPr>
              <w:pStyle w:val="ProductList-Body"/>
              <w:rPr>
                <w:sz w:val="16"/>
                <w:szCs w:val="16"/>
              </w:rPr>
            </w:pPr>
            <w:r w:rsidRPr="008D6EF7">
              <w:rPr>
                <w:rFonts w:ascii="Calibri" w:eastAsia="Calibri" w:hAnsi="Calibri" w:cs="Arial"/>
                <w:b/>
                <w:sz w:val="16"/>
                <w:szCs w:val="16"/>
              </w:rPr>
              <w:t>Política Operacional</w:t>
            </w:r>
            <w:r w:rsidRPr="008D6EF7">
              <w:rPr>
                <w:rFonts w:ascii="Calibri" w:eastAsia="Calibri" w:hAnsi="Calibri" w:cs="Arial"/>
                <w:sz w:val="16"/>
                <w:szCs w:val="16"/>
              </w:rPr>
              <w:t>. A Microsoft mantém documentos de segurança que descrevem as respetivas medidas de segurança e os procedimentos e responsabilidades relevantes do seu pessoal com acesso aos Dados de Suporte e Consultoria.</w:t>
            </w:r>
          </w:p>
          <w:p w:rsidR="00BF75F8" w:rsidRPr="008D6EF7" w:rsidRDefault="00A95416" w:rsidP="00422AFA">
            <w:pPr>
              <w:pStyle w:val="ProductList-Body"/>
              <w:spacing w:before="40"/>
              <w:rPr>
                <w:b/>
                <w:sz w:val="16"/>
                <w:szCs w:val="16"/>
              </w:rPr>
            </w:pPr>
            <w:r w:rsidRPr="008D6EF7">
              <w:rPr>
                <w:rFonts w:ascii="Calibri" w:eastAsia="Calibri" w:hAnsi="Calibri" w:cs="Arial"/>
                <w:b/>
                <w:sz w:val="16"/>
                <w:szCs w:val="16"/>
              </w:rPr>
              <w:t>Procedimentos de Recuperação de Dados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Regularmente, mas nunca menos frequente do que uma vez por semana (a menos que não sejam atualizados os Dados de Suporte e Consultoria nesse período), a Microsoft irá manter múltiplas cópias dos Dados de Suporte e Consultoria a partir das quais os Dados de Suporte e Consultoria podem ser recuperados.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armazena cópias dos Dados de Suporte e Consultoria e procedimentos de recuperação de dados num local diferente do local onde se encontra o equipamento informático principal que trata os Dados de Suporte e Consultoria.</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dispõe de procedimentos específicos que regem o acesso a cópias dos Dados de Suporte e Consultoria.</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revê os procedimentos de recuperação de dados pelo menos anualmente.</w:t>
            </w:r>
          </w:p>
          <w:p w:rsidR="00BF75F8" w:rsidRPr="008D6EF7" w:rsidRDefault="00A95416" w:rsidP="00422AFA">
            <w:pPr>
              <w:pStyle w:val="ProductList-Body"/>
              <w:spacing w:before="40"/>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rsidR="00BF75F8" w:rsidRPr="008D6EF7" w:rsidRDefault="00A95416" w:rsidP="00422AFA">
            <w:pPr>
              <w:pStyle w:val="ProductList-Body"/>
              <w:spacing w:before="40"/>
              <w:rPr>
                <w:sz w:val="16"/>
                <w:szCs w:val="16"/>
              </w:rPr>
            </w:pPr>
            <w:r w:rsidRPr="008D6EF7">
              <w:rPr>
                <w:rFonts w:ascii="Calibri" w:eastAsia="Calibri" w:hAnsi="Calibri" w:cs="Arial"/>
                <w:b/>
                <w:sz w:val="16"/>
                <w:szCs w:val="16"/>
              </w:rPr>
              <w:t>Software Malicioso</w:t>
            </w:r>
            <w:r w:rsidRPr="008D6EF7">
              <w:rPr>
                <w:rFonts w:ascii="Calibri" w:eastAsia="Calibri" w:hAnsi="Calibri" w:cs="Arial"/>
                <w:sz w:val="16"/>
                <w:szCs w:val="16"/>
              </w:rPr>
              <w:t>. A Microsoft possui controlos antimalware para ajudar a impedir que software malicioso obtenha acesso não autorizado aos Dados de Suporte e Consultoria, incluindo software malicioso proveniente de redes públicas.</w:t>
            </w:r>
          </w:p>
          <w:p w:rsidR="00BF75F8" w:rsidRPr="008D6EF7" w:rsidRDefault="00A95416" w:rsidP="00422AFA">
            <w:pPr>
              <w:pStyle w:val="ProductList-Body"/>
              <w:spacing w:before="40"/>
              <w:rPr>
                <w:b/>
                <w:sz w:val="16"/>
                <w:szCs w:val="16"/>
              </w:rPr>
            </w:pPr>
            <w:r w:rsidRPr="008D6EF7">
              <w:rPr>
                <w:rFonts w:ascii="Calibri" w:eastAsia="Calibri" w:hAnsi="Calibri" w:cs="Arial"/>
                <w:b/>
                <w:sz w:val="16"/>
                <w:szCs w:val="16"/>
              </w:rPr>
              <w:t>Dados Fora dos Limites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encripta ou permite que o Cliente encripte Dados de Suporte ou Consultoria transmitidos através de redes públicas.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restringe o acesso aos Dados de Suporte e Consultoria nos suportes de dados que saem das suas instalações.</w:t>
            </w:r>
          </w:p>
          <w:p w:rsidR="00BF75F8" w:rsidRPr="008D6EF7" w:rsidRDefault="00A95416" w:rsidP="00422AFA">
            <w:pPr>
              <w:pStyle w:val="ProductList-Body"/>
              <w:spacing w:before="40"/>
              <w:rPr>
                <w:b/>
                <w:sz w:val="16"/>
                <w:szCs w:val="16"/>
              </w:rPr>
            </w:pPr>
            <w:r w:rsidRPr="008D6EF7">
              <w:rPr>
                <w:rFonts w:ascii="Calibri" w:eastAsia="Calibri" w:hAnsi="Calibri" w:cs="Arial"/>
                <w:b/>
                <w:sz w:val="16"/>
                <w:szCs w:val="16"/>
              </w:rPr>
              <w:t>Registo de Eventos</w:t>
            </w:r>
          </w:p>
          <w:p w:rsidR="00BF75F8" w:rsidRPr="008D6EF7" w:rsidRDefault="00A95416" w:rsidP="00422AFA">
            <w:pPr>
              <w:pStyle w:val="ProductList-Body"/>
              <w:spacing w:before="40"/>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regista a utilização dos respetivos sistemas de tratamento de dados.</w:t>
            </w:r>
          </w:p>
          <w:p w:rsidR="00BF75F8" w:rsidRPr="008D6EF7" w:rsidRDefault="00A95416" w:rsidP="00422AFA">
            <w:pPr>
              <w:pStyle w:val="ProductList-Body"/>
              <w:spacing w:before="40"/>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regista o acesso e utilização dos sistemas de informações contendo Dados de Suporte e Consultoria, registando o ID de acesso, a hora, a autorização concedida ou negada e a atividade relevante.</w:t>
            </w:r>
          </w:p>
        </w:tc>
      </w:tr>
      <w:tr w:rsidR="003569B5" w:rsidRPr="008D6EF7"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8D6EF7" w:rsidRDefault="00A95416" w:rsidP="00422AFA">
            <w:pPr>
              <w:pStyle w:val="ProductList-Body"/>
              <w:rPr>
                <w:sz w:val="16"/>
                <w:szCs w:val="16"/>
              </w:rPr>
            </w:pPr>
            <w:r w:rsidRPr="008D6EF7">
              <w:rPr>
                <w:rFonts w:ascii="Calibri" w:eastAsia="Calibri" w:hAnsi="Calibri" w:cs="Arial"/>
                <w:sz w:val="16"/>
                <w:szCs w:val="16"/>
              </w:rPr>
              <w:t>Controlo de Acesso</w:t>
            </w:r>
          </w:p>
        </w:tc>
        <w:tc>
          <w:tcPr>
            <w:tcW w:w="8190" w:type="dxa"/>
            <w:tcBorders>
              <w:top w:val="single" w:sz="4" w:space="0" w:color="auto"/>
              <w:left w:val="single" w:sz="4" w:space="0" w:color="auto"/>
              <w:bottom w:val="single" w:sz="4" w:space="0" w:color="auto"/>
              <w:right w:val="single" w:sz="4" w:space="0" w:color="auto"/>
            </w:tcBorders>
          </w:tcPr>
          <w:p w:rsidR="00BF75F8" w:rsidRPr="008D6EF7" w:rsidRDefault="00A95416" w:rsidP="00422AFA">
            <w:pPr>
              <w:pStyle w:val="ProductList-Body"/>
              <w:rPr>
                <w:sz w:val="16"/>
                <w:szCs w:val="16"/>
              </w:rPr>
            </w:pPr>
            <w:r w:rsidRPr="008D6EF7">
              <w:rPr>
                <w:rFonts w:ascii="Calibri" w:eastAsia="Calibri" w:hAnsi="Calibri" w:cs="Arial"/>
                <w:b/>
                <w:sz w:val="16"/>
                <w:szCs w:val="16"/>
              </w:rPr>
              <w:t>Política de Acesso</w:t>
            </w:r>
            <w:r w:rsidRPr="008D6EF7">
              <w:rPr>
                <w:rFonts w:ascii="Calibri" w:eastAsia="Calibri" w:hAnsi="Calibri" w:cs="Arial"/>
                <w:sz w:val="16"/>
                <w:szCs w:val="16"/>
              </w:rPr>
              <w:t>. A Microsoft mantém um registo dos privilégios de segurança dos indivíduos com acesso aos Dados de Suporte e Consultoria.</w:t>
            </w:r>
          </w:p>
          <w:p w:rsidR="00BF75F8" w:rsidRPr="008D6EF7" w:rsidRDefault="00A95416" w:rsidP="00422AFA">
            <w:pPr>
              <w:pStyle w:val="ProductList-Body"/>
              <w:spacing w:before="40"/>
              <w:rPr>
                <w:b/>
                <w:sz w:val="16"/>
                <w:szCs w:val="16"/>
              </w:rPr>
            </w:pPr>
            <w:r w:rsidRPr="008D6EF7">
              <w:rPr>
                <w:rFonts w:ascii="Calibri" w:eastAsia="Calibri" w:hAnsi="Calibri" w:cs="Arial"/>
                <w:b/>
                <w:sz w:val="16"/>
                <w:szCs w:val="16"/>
              </w:rPr>
              <w:t>Autorização para o Acesso</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mantém e atualiza um registo do pessoal autorizado a aceder aos sistemas da Microsoft que contêm os Dados de Suporte e Consultoria.</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desativa as credenciais da autenticação que ainda não foram utilizadas por um período de tempo que não exceda seis meses.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 xml:space="preserve">A Microsoft identifica este pessoal como podendo conceder, alterar ou cancelar o acesso autorizado a dados e recursos. </w:t>
            </w:r>
          </w:p>
          <w:p w:rsidR="00BF75F8" w:rsidRPr="008D6EF7" w:rsidRDefault="00A95416" w:rsidP="00422AFA">
            <w:pPr>
              <w:pStyle w:val="ProductList-Body"/>
              <w:spacing w:before="40"/>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garante que, quando existir mais de um indivíduo com acesso a sistemas com Dados de Suporte e Consultoria, os indivíduos têm identificadores/inícios de sessão diferentes.</w:t>
            </w:r>
          </w:p>
          <w:p w:rsidR="00BF75F8" w:rsidRPr="008D6EF7" w:rsidRDefault="00A95416" w:rsidP="00422AFA">
            <w:pPr>
              <w:pStyle w:val="ProductList-Body"/>
              <w:spacing w:before="40"/>
              <w:rPr>
                <w:b/>
                <w:sz w:val="16"/>
                <w:szCs w:val="16"/>
              </w:rPr>
            </w:pPr>
            <w:r w:rsidRPr="008D6EF7">
              <w:rPr>
                <w:rFonts w:ascii="Calibri" w:eastAsia="Calibri" w:hAnsi="Calibri" w:cs="Arial"/>
                <w:b/>
                <w:sz w:val="16"/>
                <w:szCs w:val="16"/>
              </w:rPr>
              <w:t>Privilégios Mínimos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 xml:space="preserve">O pessoal do suporte técnico só está permitido a ter acesso aos Dados de Suporte e Consultoria conforme necessário. </w:t>
            </w:r>
          </w:p>
          <w:p w:rsidR="00BF75F8" w:rsidRPr="008D6EF7" w:rsidRDefault="00A95416" w:rsidP="00422AFA">
            <w:pPr>
              <w:pStyle w:val="ProductList-Body"/>
              <w:spacing w:before="40"/>
              <w:rPr>
                <w:b/>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restringe o acesso aos Dados de Suporte e Consultoria apenas aos indivíduos que requerem esse acesso para executar a respetiva função.</w:t>
            </w:r>
          </w:p>
          <w:p w:rsidR="00BF75F8" w:rsidRPr="008D6EF7" w:rsidRDefault="00A95416" w:rsidP="00422AFA">
            <w:pPr>
              <w:pStyle w:val="ProductList-Body"/>
              <w:spacing w:before="40"/>
              <w:rPr>
                <w:b/>
                <w:sz w:val="16"/>
                <w:szCs w:val="16"/>
              </w:rPr>
            </w:pPr>
            <w:r w:rsidRPr="008D6EF7">
              <w:rPr>
                <w:rFonts w:ascii="Calibri" w:eastAsia="Calibri" w:hAnsi="Calibri" w:cs="Arial"/>
                <w:b/>
                <w:sz w:val="16"/>
                <w:szCs w:val="16"/>
              </w:rPr>
              <w:t>Integridade e Confidencialidade</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dá instruções ao pessoal da Microsoft para desativar as sessões administrativas quando saem das instalações controladas pela Microsoft ou quando se ausentam de alguma forma dos respetivos computadores.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armazena palavras-passe de uma forma que as torna ilegíveis quando estão em vigor.</w:t>
            </w:r>
          </w:p>
          <w:p w:rsidR="00BF75F8" w:rsidRPr="008D6EF7" w:rsidRDefault="00A95416" w:rsidP="00422AFA">
            <w:pPr>
              <w:pStyle w:val="ProductList-Body"/>
              <w:spacing w:before="40"/>
              <w:rPr>
                <w:b/>
                <w:sz w:val="16"/>
                <w:szCs w:val="16"/>
              </w:rPr>
            </w:pPr>
            <w:r w:rsidRPr="008D6EF7">
              <w:rPr>
                <w:rFonts w:ascii="Calibri" w:eastAsia="Calibri" w:hAnsi="Calibri" w:cs="Arial"/>
                <w:b/>
                <w:sz w:val="16"/>
                <w:szCs w:val="16"/>
              </w:rPr>
              <w:t>Autenticação</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utiliza as práticas padrão do setor para identificar e autenticar os utilizadores que tentem aceder aos sistemas de informações.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Nos mecanismos de autenticação em que é necessário introduzir palavras-passe, a Microsoft requer que as palavras-passe sejam renovadas regularmente.</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Nos mecanismos de autenticação em que é necessário introduzir palavras-passe, a Microsoft requer que a palavra-passe tenha pelo menos oito carateres de comprimento.</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garante que os identificadores desativados ou expirados não são concedidos a outros indivíduos.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lastRenderedPageBreak/>
              <w:t>-</w:t>
            </w:r>
            <w:r w:rsidRPr="008D6EF7">
              <w:rPr>
                <w:rFonts w:ascii="Calibri" w:eastAsia="Calibri" w:hAnsi="Calibri" w:cs="Arial"/>
                <w:sz w:val="16"/>
                <w:szCs w:val="16"/>
              </w:rPr>
              <w:tab/>
              <w:t>A Microsoft monitoriza as tentativas repetidas de obter acesso ao sistema de informações utilizando uma palavra-passe inválida.</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mantém os procedimentos padrão do setor para desativar as palavras-passe que tenham sido corrompidas ou divulgadas inadvertidamente.</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utiliza práticas padrão do setor de proteção por palavra-passe, incluindo as práticas concebidas para manter a confidencialidade e integridade das palavras-passe quando são atribuídas e distribuídas e durante o armazenamento.</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r>
            <w:r w:rsidRPr="008D6EF7">
              <w:rPr>
                <w:rFonts w:ascii="Calibri" w:eastAsia="Calibri" w:hAnsi="Calibri" w:cs="Arial"/>
                <w:b/>
                <w:sz w:val="16"/>
                <w:szCs w:val="16"/>
              </w:rPr>
              <w:t>Conceção de Rede</w:t>
            </w:r>
            <w:r w:rsidRPr="008D6EF7">
              <w:rPr>
                <w:rFonts w:ascii="Calibri" w:eastAsia="Calibri" w:hAnsi="Calibri" w:cs="Arial"/>
                <w:sz w:val="16"/>
                <w:szCs w:val="16"/>
              </w:rPr>
              <w:t>. A Microsoft detém controlos para impedir que indivíduos assumam direitos de acesso que não lhes foram atribuídos para ter acesso aos Dados de Suporte e Consultoria aos quais não estão autorizados a aceder.</w:t>
            </w:r>
          </w:p>
        </w:tc>
      </w:tr>
      <w:tr w:rsidR="003569B5" w:rsidRPr="008D6EF7" w:rsidTr="00422AFA">
        <w:tc>
          <w:tcPr>
            <w:tcW w:w="2610" w:type="dxa"/>
            <w:tcBorders>
              <w:top w:val="single" w:sz="4" w:space="0" w:color="auto"/>
            </w:tcBorders>
            <w:vAlign w:val="center"/>
          </w:tcPr>
          <w:p w:rsidR="00BF75F8" w:rsidRPr="008D6EF7" w:rsidRDefault="00A95416" w:rsidP="00422AFA">
            <w:pPr>
              <w:pStyle w:val="ProductList-Body"/>
              <w:rPr>
                <w:sz w:val="16"/>
                <w:szCs w:val="16"/>
              </w:rPr>
            </w:pPr>
            <w:r w:rsidRPr="008D6EF7">
              <w:rPr>
                <w:rFonts w:ascii="Calibri" w:eastAsia="Calibri" w:hAnsi="Calibri" w:cs="Arial"/>
                <w:sz w:val="16"/>
                <w:szCs w:val="16"/>
              </w:rPr>
              <w:lastRenderedPageBreak/>
              <w:t>Gestão de Incidentes de Segurança de Informações</w:t>
            </w:r>
          </w:p>
        </w:tc>
        <w:tc>
          <w:tcPr>
            <w:tcW w:w="8190" w:type="dxa"/>
            <w:tcBorders>
              <w:top w:val="single" w:sz="4" w:space="0" w:color="auto"/>
            </w:tcBorders>
          </w:tcPr>
          <w:p w:rsidR="00BF75F8" w:rsidRPr="008D6EF7" w:rsidRDefault="00A95416" w:rsidP="00422AFA">
            <w:pPr>
              <w:pStyle w:val="ProductList-Body"/>
              <w:rPr>
                <w:b/>
                <w:sz w:val="16"/>
                <w:szCs w:val="16"/>
              </w:rPr>
            </w:pPr>
            <w:r w:rsidRPr="008D6EF7">
              <w:rPr>
                <w:rFonts w:ascii="Calibri" w:eastAsia="Calibri" w:hAnsi="Calibri" w:cs="Arial"/>
                <w:b/>
                <w:sz w:val="16"/>
                <w:szCs w:val="16"/>
              </w:rPr>
              <w:t>Processo de Resposta a Incidentes</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mantém um registo das violações de segurança com uma descrição da violação, o período de tempo, as consequências da violação, o nome da pessoa que reportou e a quem a violação foi reportada e o procedimento para recuperar dados.</w:t>
            </w:r>
          </w:p>
          <w:p w:rsidR="00BF75F8" w:rsidRPr="008D6EF7" w:rsidRDefault="00A95416" w:rsidP="00422AFA">
            <w:pPr>
              <w:pStyle w:val="ProductList-Body"/>
              <w:spacing w:before="40"/>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controla a divulgação dos Dados de Suporte e Consultoria, incluindo os dados que foram divulgados, a quem e a que horas.</w:t>
            </w:r>
          </w:p>
          <w:p w:rsidR="00BF75F8" w:rsidRPr="008D6EF7" w:rsidRDefault="00A95416" w:rsidP="00422AFA">
            <w:pPr>
              <w:pStyle w:val="ProductList-Body"/>
              <w:spacing w:before="40"/>
              <w:rPr>
                <w:sz w:val="16"/>
                <w:szCs w:val="16"/>
              </w:rPr>
            </w:pPr>
            <w:r w:rsidRPr="008D6EF7">
              <w:rPr>
                <w:rFonts w:ascii="Calibri" w:eastAsia="Calibri" w:hAnsi="Calibri" w:cs="Arial"/>
                <w:b/>
                <w:sz w:val="16"/>
                <w:szCs w:val="16"/>
              </w:rPr>
              <w:t>Monitorização de Serviços</w:t>
            </w:r>
            <w:r w:rsidRPr="008D6EF7">
              <w:rPr>
                <w:rFonts w:ascii="Calibri" w:eastAsia="Calibri" w:hAnsi="Calibri" w:cs="Arial"/>
                <w:sz w:val="16"/>
                <w:szCs w:val="16"/>
              </w:rPr>
              <w:t>. O pessoal da segurança da Microsoft verifica os registos pelo menos de seis em seis meses para propor esforços de resolução se necessário.</w:t>
            </w:r>
          </w:p>
        </w:tc>
      </w:tr>
      <w:tr w:rsidR="003569B5" w:rsidRPr="008D6EF7" w:rsidTr="00422AFA">
        <w:tc>
          <w:tcPr>
            <w:tcW w:w="2610" w:type="dxa"/>
            <w:vAlign w:val="center"/>
          </w:tcPr>
          <w:p w:rsidR="00BF75F8" w:rsidRPr="008D6EF7" w:rsidRDefault="00A95416" w:rsidP="00422AFA">
            <w:pPr>
              <w:pStyle w:val="ProductList-Body"/>
              <w:rPr>
                <w:sz w:val="16"/>
                <w:szCs w:val="16"/>
              </w:rPr>
            </w:pPr>
            <w:r w:rsidRPr="008D6EF7">
              <w:rPr>
                <w:rFonts w:ascii="Calibri" w:eastAsia="Calibri" w:hAnsi="Calibri" w:cs="Arial"/>
                <w:sz w:val="16"/>
                <w:szCs w:val="16"/>
              </w:rPr>
              <w:t>Gestão da Continuidade da Atividade</w:t>
            </w:r>
          </w:p>
        </w:tc>
        <w:tc>
          <w:tcPr>
            <w:tcW w:w="8190" w:type="dxa"/>
          </w:tcPr>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A Microsoft mantém planos de emergência e contingência para as instalações onde estão localizados os sistemas de informações da Microsoft que tratam os Dados de Suporte e Consultoria.</w:t>
            </w:r>
          </w:p>
          <w:p w:rsidR="00BF75F8" w:rsidRPr="008D6EF7" w:rsidRDefault="00A95416" w:rsidP="00422AFA">
            <w:pPr>
              <w:pStyle w:val="ProductList-Body"/>
              <w:ind w:left="162" w:hanging="162"/>
              <w:rPr>
                <w:sz w:val="16"/>
                <w:szCs w:val="16"/>
              </w:rPr>
            </w:pPr>
            <w:r w:rsidRPr="008D6EF7">
              <w:rPr>
                <w:rFonts w:ascii="Calibri" w:eastAsia="Calibri" w:hAnsi="Calibri" w:cs="Arial"/>
                <w:sz w:val="16"/>
                <w:szCs w:val="16"/>
              </w:rPr>
              <w:t>-</w:t>
            </w:r>
            <w:r w:rsidRPr="008D6EF7">
              <w:rPr>
                <w:rFonts w:ascii="Calibri" w:eastAsia="Calibri" w:hAnsi="Calibri" w:cs="Arial"/>
                <w:sz w:val="16"/>
                <w:szCs w:val="16"/>
              </w:rPr>
              <w:tab/>
              <w:t>O armazenamento redundante da Microsoft e respetivos procedimentos para recuperar dados foram concebidos para tentar restaurar os Dados de Suporte e Consultoria para o estado original antes de serem perdidos ou destruídos.</w:t>
            </w:r>
          </w:p>
        </w:tc>
      </w:tr>
    </w:tbl>
    <w:p w:rsidR="00BF75F8" w:rsidRPr="008D6EF7" w:rsidRDefault="00BF75F8" w:rsidP="00BF75F8">
      <w:pPr>
        <w:pStyle w:val="ProductList-Body"/>
      </w:pPr>
    </w:p>
    <w:p w:rsidR="00585D68" w:rsidRPr="008D6EF7" w:rsidRDefault="00A95416" w:rsidP="00BF75F8">
      <w:pPr>
        <w:pStyle w:val="ProductList-SubSubSectionHeading"/>
        <w:spacing w:after="120"/>
        <w:outlineLvl w:val="2"/>
      </w:pPr>
      <w:r w:rsidRPr="008D6EF7">
        <w:rPr>
          <w:rFonts w:ascii="Calibri" w:eastAsia="Calibri" w:hAnsi="Calibri" w:cs="Arial"/>
          <w:szCs w:val="18"/>
        </w:rPr>
        <w:t>Responsabilidades do Cliente</w:t>
      </w:r>
    </w:p>
    <w:p w:rsidR="00585D68" w:rsidRPr="008D6EF7" w:rsidRDefault="00A95416" w:rsidP="00BF75F8">
      <w:pPr>
        <w:pStyle w:val="ProductList-SubSubSectionHeading"/>
        <w:spacing w:after="120"/>
        <w:outlineLvl w:val="2"/>
        <w:rPr>
          <w:b w:val="0"/>
          <w:color w:val="auto"/>
        </w:rPr>
      </w:pPr>
      <w:r w:rsidRPr="008D6EF7">
        <w:rPr>
          <w:rFonts w:ascii="Calibri" w:eastAsia="Calibri" w:hAnsi="Calibri" w:cs="Arial"/>
          <w:b w:val="0"/>
          <w:color w:val="auto"/>
          <w:szCs w:val="18"/>
        </w:rPr>
        <w:t>O Cliente é o único responsável por determinar, de forma independente, se as medidas técnicas e organizativas para os Serviços Profissionais cumprem os requisitos do Cliente, incluindo no que diz respeito a qualquer das obrigações de segurança previstas no RGPD ou em outras leis e regulamentos sobre proteção de dados em vigor. O Cliente reconhece e concorda que (atendendo aos conhecimentos técnicos disponíveis e ao custo da sua aplicação, bem como à natureza, ao âmbito, contexto e objetivos do tratamento dos seus Dados Pessoais, bem como aos riscos para os indivíduos) as práticas e políticas de segurança aplicadas e mantidas pela Microsoft oferecem um nível de proteção de adequado ao risco, no que diz respeito aos seus Dados Pessoais. O Cliente é responsável por aplicar e manter medidas de proteção e segurança da privacidade para os componentes que fornece ou controla.</w:t>
      </w:r>
    </w:p>
    <w:p w:rsidR="00BF75F8" w:rsidRPr="008D6EF7" w:rsidRDefault="00A95416" w:rsidP="00BF75F8">
      <w:pPr>
        <w:pStyle w:val="ProductList-SubSubSectionHeading"/>
        <w:spacing w:after="120"/>
        <w:outlineLvl w:val="2"/>
      </w:pPr>
      <w:r w:rsidRPr="008D6EF7">
        <w:rPr>
          <w:rFonts w:ascii="Calibri" w:eastAsia="Calibri" w:hAnsi="Calibri" w:cs="Arial"/>
          <w:szCs w:val="18"/>
        </w:rPr>
        <w:t xml:space="preserve">Auditoria à Conformidade </w:t>
      </w:r>
    </w:p>
    <w:p w:rsidR="00A20D37" w:rsidRPr="008D6EF7" w:rsidRDefault="00A95416" w:rsidP="00B0434E">
      <w:pPr>
        <w:pStyle w:val="ProductList-Body"/>
      </w:pPr>
      <w:r w:rsidRPr="008D6EF7">
        <w:rPr>
          <w:rFonts w:ascii="Calibri" w:eastAsia="Calibri" w:hAnsi="Calibri" w:cs="Arial"/>
          <w:szCs w:val="18"/>
        </w:rPr>
        <w:t>A Microsoft realizará auditorias à segurança dos computadores e do ambiente informático, e aos centros de dados físicos utilizados no tratamento dos Dados de Suporte e Consultoria, bem como dos Dados Pessoais, da forma que se segue:</w:t>
      </w:r>
    </w:p>
    <w:p w:rsidR="00A20D37" w:rsidRPr="008D6EF7" w:rsidRDefault="00A95416" w:rsidP="00B0434E">
      <w:pPr>
        <w:pStyle w:val="ProductList-Body"/>
        <w:numPr>
          <w:ilvl w:val="0"/>
          <w:numId w:val="3"/>
        </w:numPr>
        <w:ind w:left="0" w:firstLine="360"/>
      </w:pPr>
      <w:r w:rsidRPr="008D6EF7">
        <w:rPr>
          <w:rFonts w:ascii="Calibri" w:eastAsia="Calibri" w:hAnsi="Calibri" w:cs="Arial"/>
          <w:szCs w:val="18"/>
        </w:rPr>
        <w:t>No caso de estarem previstas auditorias no âmbito de uma norma ou quadro, será efetuada uma auditoria no âmbito da norma ou quadro de controlo em questão pelo menos uma vez por ano.</w:t>
      </w:r>
    </w:p>
    <w:p w:rsidR="003C682E" w:rsidRPr="008D6EF7" w:rsidRDefault="00A95416" w:rsidP="00B0434E">
      <w:pPr>
        <w:pStyle w:val="ProductList-Body"/>
        <w:numPr>
          <w:ilvl w:val="0"/>
          <w:numId w:val="3"/>
        </w:numPr>
        <w:suppressAutoHyphens/>
        <w:overflowPunct w:val="0"/>
        <w:autoSpaceDE w:val="0"/>
        <w:autoSpaceDN w:val="0"/>
        <w:adjustRightInd w:val="0"/>
        <w:ind w:left="0" w:firstLine="360"/>
        <w:textAlignment w:val="baseline"/>
        <w:outlineLvl w:val="0"/>
      </w:pPr>
      <w:r w:rsidRPr="008D6EF7">
        <w:rPr>
          <w:rFonts w:ascii="Calibri" w:eastAsia="Calibri" w:hAnsi="Calibri" w:cs="Arial"/>
          <w:szCs w:val="18"/>
        </w:rPr>
        <w:t>Cada auditoria será realizada de acordo com as normas e regras do organismo regulador ou de acreditação de cada norma ou quadro de controlo aplicável.</w:t>
      </w:r>
    </w:p>
    <w:p w:rsidR="00A20D37" w:rsidRPr="008D6EF7" w:rsidRDefault="00A95416" w:rsidP="00B0434E">
      <w:pPr>
        <w:pStyle w:val="ProductList-Body"/>
        <w:numPr>
          <w:ilvl w:val="0"/>
          <w:numId w:val="3"/>
        </w:numPr>
        <w:suppressAutoHyphens/>
        <w:overflowPunct w:val="0"/>
        <w:autoSpaceDE w:val="0"/>
        <w:autoSpaceDN w:val="0"/>
        <w:adjustRightInd w:val="0"/>
        <w:ind w:left="0" w:firstLine="360"/>
        <w:textAlignment w:val="baseline"/>
        <w:outlineLvl w:val="0"/>
      </w:pPr>
      <w:r w:rsidRPr="008D6EF7">
        <w:rPr>
          <w:rFonts w:ascii="Calibri" w:eastAsia="Calibri" w:hAnsi="Calibri" w:cs="Arial"/>
          <w:szCs w:val="18"/>
        </w:rPr>
        <w:t>Cada auditoria será realizada por auditores de segurança terceiros, qualificados e independentes, selecionados e pagos pela Microsoft.</w:t>
      </w:r>
    </w:p>
    <w:p w:rsidR="00A20D37" w:rsidRPr="008D6EF7" w:rsidRDefault="00A20D37" w:rsidP="00B0434E">
      <w:pPr>
        <w:pStyle w:val="ProductList-Body"/>
      </w:pPr>
    </w:p>
    <w:p w:rsidR="00A20D37" w:rsidRPr="008D6EF7" w:rsidRDefault="00A95416" w:rsidP="00B0434E">
      <w:pPr>
        <w:pStyle w:val="ProductList-Body"/>
      </w:pPr>
      <w:r w:rsidRPr="008D6EF7">
        <w:rPr>
          <w:rFonts w:ascii="Calibri" w:eastAsia="Calibri" w:hAnsi="Calibri" w:cs="Arial"/>
          <w:szCs w:val="18"/>
        </w:rPr>
        <w:t>Cada auditoria resultará na produção de um relatório de auditoria (</w:t>
      </w:r>
      <w:r w:rsidR="00156B18" w:rsidRPr="008D6EF7">
        <w:rPr>
          <w:rFonts w:ascii="Calibri" w:eastAsia="Calibri" w:hAnsi="Calibri" w:cs="Arial"/>
          <w:szCs w:val="18"/>
        </w:rPr>
        <w:t>“</w:t>
      </w:r>
      <w:r w:rsidRPr="008D6EF7">
        <w:rPr>
          <w:rFonts w:ascii="Calibri" w:eastAsia="Calibri" w:hAnsi="Calibri" w:cs="Arial"/>
          <w:szCs w:val="18"/>
        </w:rPr>
        <w:t>Relatório de Auditoria da Microsoft</w:t>
      </w:r>
      <w:r w:rsidR="00156B18" w:rsidRPr="008D6EF7">
        <w:rPr>
          <w:rFonts w:ascii="Calibri" w:eastAsia="Calibri" w:hAnsi="Calibri" w:cs="Arial"/>
          <w:szCs w:val="18"/>
        </w:rPr>
        <w:t>”</w:t>
      </w:r>
      <w:r w:rsidRPr="008D6EF7">
        <w:rPr>
          <w:rFonts w:ascii="Calibri" w:eastAsia="Calibri" w:hAnsi="Calibri" w:cs="Arial"/>
          <w:szCs w:val="18"/>
        </w:rPr>
        <w:t>), o qual a Microsoft disponibilizará ao Cliente, a pedido. O Relatório de Auditoria da Microsoft constituirá Informação Confidencial da Microsoft e divulgará claramente quaisquer conclusões materiais do auditor. A Microsoft resolverá imediatamente os problemas apresentados em qualquer Relatório de Auditoria da Microsoft, de acordo com os requisitos do auditor.</w:t>
      </w:r>
    </w:p>
    <w:p w:rsidR="003C682E" w:rsidRPr="008D6EF7" w:rsidRDefault="003C682E" w:rsidP="003C682E">
      <w:pPr>
        <w:pStyle w:val="ProductList-Body"/>
      </w:pPr>
    </w:p>
    <w:p w:rsidR="00A20D37" w:rsidRPr="008D6EF7" w:rsidRDefault="00A95416" w:rsidP="00B0434E">
      <w:pPr>
        <w:pStyle w:val="ProductList-Body"/>
      </w:pPr>
      <w:r w:rsidRPr="008D6EF7">
        <w:rPr>
          <w:rFonts w:ascii="Calibri" w:eastAsia="Calibri" w:hAnsi="Calibri" w:cs="Arial"/>
          <w:szCs w:val="18"/>
        </w:rPr>
        <w:t>O Relatório de Auditoria da Microsoft estará sujeito a limitações de não divulgação e distribuição da Microsoft e do auditor.</w:t>
      </w:r>
    </w:p>
    <w:p w:rsidR="00A20D37" w:rsidRPr="008D6EF7" w:rsidRDefault="00A95416" w:rsidP="003C682E">
      <w:pPr>
        <w:pStyle w:val="ProductList-Body"/>
      </w:pPr>
      <w:r w:rsidRPr="008D6EF7">
        <w:rPr>
          <w:rFonts w:ascii="Calibri" w:eastAsia="Calibri" w:hAnsi="Calibri" w:cs="Arial"/>
          <w:szCs w:val="18"/>
        </w:rPr>
        <w:t>Se o Cliente tiver celebrado Cláusulas Contratuais-Tipo com a Microsoft ou se as Disposições do RGPD forem aplicáveis, o Cliente concorda em exercer o seu direito de auditoria dando instruções à Microsoft para executar a auditoria conforme descrito nesta secção da Adenda.</w:t>
      </w:r>
      <w:r w:rsidR="00156B18" w:rsidRPr="008D6EF7">
        <w:rPr>
          <w:rFonts w:ascii="Calibri" w:eastAsia="Calibri" w:hAnsi="Calibri" w:cs="Arial"/>
          <w:szCs w:val="18"/>
        </w:rPr>
        <w:t xml:space="preserve"> </w:t>
      </w:r>
      <w:r w:rsidRPr="008D6EF7">
        <w:rPr>
          <w:rFonts w:ascii="Calibri" w:eastAsia="Calibri" w:hAnsi="Calibri" w:cs="Arial"/>
          <w:szCs w:val="18"/>
        </w:rPr>
        <w:t>Se o Cliente pretender alterar esta instrução, nesse caso, o Cliente tem o direito de o fazer conforme mencionado nas Cláusulas Contratuais-Tipo e nas Disposições do RGPD, devendo a referida alteração ser solicitada por escrito.</w:t>
      </w:r>
    </w:p>
    <w:p w:rsidR="003C682E" w:rsidRPr="008D6EF7" w:rsidRDefault="003C682E" w:rsidP="00B0434E">
      <w:pPr>
        <w:pStyle w:val="ProductList-Body"/>
      </w:pPr>
    </w:p>
    <w:p w:rsidR="00BF75F8" w:rsidRPr="008D6EF7" w:rsidRDefault="00A95416" w:rsidP="00B0434E">
      <w:pPr>
        <w:pStyle w:val="ProductList-Body"/>
      </w:pPr>
      <w:r w:rsidRPr="008D6EF7">
        <w:rPr>
          <w:rFonts w:ascii="Calibri" w:eastAsia="Calibri" w:hAnsi="Calibri" w:cs="Arial"/>
          <w:szCs w:val="18"/>
        </w:rPr>
        <w:t>Se se aplicarem as Cláusulas Contratuais-Tipo, esta secção vem complementar a cláusula 5, alínea f) e a cláusula 12, n.º 2 das Cláusulas Contratuais-Tipo. Nada nesta Secção varia ou modifica as Cláusulas Contratuais-Tipo ou as Disposições do RGPD, ou afeta os direitos do titular dos dados ou da autoridade de supervisão ao abrigo das Cláusulas Contratuais-Tipo. A Microsoft Corporation é um terceiro beneficiário ao abrigo desta secção.</w:t>
      </w:r>
    </w:p>
    <w:p w:rsidR="00BF75F8" w:rsidRPr="008D6EF7" w:rsidRDefault="00BF75F8" w:rsidP="00BF75F8">
      <w:pPr>
        <w:pStyle w:val="ProductList-SectionHeading"/>
        <w:tabs>
          <w:tab w:val="center" w:pos="5400"/>
        </w:tabs>
        <w:outlineLvl w:val="0"/>
        <w:rPr>
          <w:sz w:val="18"/>
        </w:rPr>
      </w:pPr>
    </w:p>
    <w:p w:rsidR="00BF75F8" w:rsidRPr="008D6EF7" w:rsidRDefault="00A95416" w:rsidP="00BF75F8">
      <w:pPr>
        <w:pStyle w:val="ProductList-SectionHeading"/>
        <w:tabs>
          <w:tab w:val="center" w:pos="5400"/>
        </w:tabs>
        <w:outlineLvl w:val="0"/>
      </w:pPr>
      <w:r w:rsidRPr="008D6EF7">
        <w:rPr>
          <w:rFonts w:ascii="Calibri Light" w:eastAsia="Calibri Light" w:hAnsi="Calibri Light" w:cs="Arial"/>
          <w:szCs w:val="40"/>
        </w:rPr>
        <w:t>Notificação de Incidentes de Segurança</w:t>
      </w:r>
    </w:p>
    <w:p w:rsidR="00BF75F8" w:rsidRPr="008D6EF7" w:rsidRDefault="00A95416" w:rsidP="00BF75F8">
      <w:pPr>
        <w:pStyle w:val="ProductList-Body"/>
      </w:pPr>
      <w:r w:rsidRPr="008D6EF7">
        <w:rPr>
          <w:rFonts w:ascii="Calibri" w:eastAsia="Calibri" w:hAnsi="Calibri" w:cs="Arial"/>
          <w:szCs w:val="18"/>
        </w:rPr>
        <w:t xml:space="preserve">Se a Microsoft tomar conhecimento de uma violação de segurança que tenha resultado na destruição acidental ou ilícita, perda, alteração, divulgação ou acesso não autorizados dos Dados de Suporte e Consultoria ou dos Dados Pessoais durante o tratamento pela Microsoft (cada um </w:t>
      </w:r>
      <w:r w:rsidRPr="008D6EF7">
        <w:rPr>
          <w:rFonts w:ascii="Calibri" w:eastAsia="Calibri" w:hAnsi="Calibri" w:cs="Arial"/>
          <w:szCs w:val="18"/>
        </w:rPr>
        <w:lastRenderedPageBreak/>
        <w:t xml:space="preserve">considerado como </w:t>
      </w:r>
      <w:r w:rsidR="00156B18" w:rsidRPr="008D6EF7">
        <w:rPr>
          <w:rFonts w:ascii="Calibri" w:eastAsia="Calibri" w:hAnsi="Calibri" w:cs="Arial"/>
          <w:szCs w:val="18"/>
        </w:rPr>
        <w:t>“</w:t>
      </w:r>
      <w:r w:rsidRPr="008D6EF7">
        <w:rPr>
          <w:rFonts w:ascii="Calibri" w:eastAsia="Calibri" w:hAnsi="Calibri" w:cs="Arial"/>
          <w:szCs w:val="18"/>
        </w:rPr>
        <w:t>Incidente de Segurança</w:t>
      </w:r>
      <w:r w:rsidR="00156B18" w:rsidRPr="008D6EF7">
        <w:rPr>
          <w:rFonts w:ascii="Calibri" w:eastAsia="Calibri" w:hAnsi="Calibri" w:cs="Arial"/>
          <w:szCs w:val="18"/>
        </w:rPr>
        <w:t>”</w:t>
      </w:r>
      <w:r w:rsidRPr="008D6EF7">
        <w:rPr>
          <w:rFonts w:ascii="Calibri" w:eastAsia="Calibri" w:hAnsi="Calibri" w:cs="Arial"/>
          <w:szCs w:val="18"/>
        </w:rPr>
        <w:t>), a Microsoft irá de imediato e sem demora injustificada (1)</w:t>
      </w:r>
      <w:r w:rsidR="00156B18" w:rsidRPr="008D6EF7">
        <w:rPr>
          <w:rFonts w:ascii="Calibri" w:eastAsia="Calibri" w:hAnsi="Calibri" w:cs="Arial"/>
          <w:szCs w:val="18"/>
        </w:rPr>
        <w:t xml:space="preserve"> </w:t>
      </w:r>
      <w:r w:rsidRPr="008D6EF7">
        <w:rPr>
          <w:rFonts w:ascii="Calibri" w:eastAsia="Calibri" w:hAnsi="Calibri" w:cs="Arial"/>
          <w:szCs w:val="18"/>
        </w:rPr>
        <w:t>notificar o Cliente do Incidente de Segurança; (2)</w:t>
      </w:r>
      <w:r w:rsidR="00156B18" w:rsidRPr="008D6EF7">
        <w:rPr>
          <w:rFonts w:ascii="Calibri" w:eastAsia="Calibri" w:hAnsi="Calibri" w:cs="Arial"/>
          <w:szCs w:val="18"/>
        </w:rPr>
        <w:t xml:space="preserve"> </w:t>
      </w:r>
      <w:r w:rsidRPr="008D6EF7">
        <w:rPr>
          <w:rFonts w:ascii="Calibri" w:eastAsia="Calibri" w:hAnsi="Calibri" w:cs="Arial"/>
          <w:szCs w:val="18"/>
        </w:rPr>
        <w:t>investigar o Incidente de Segurança e fornecer ao Cliente informações detalhadas sobre o Incidente de Segurança; e (3)</w:t>
      </w:r>
      <w:r w:rsidR="00156B18" w:rsidRPr="008D6EF7">
        <w:rPr>
          <w:rFonts w:ascii="Calibri" w:eastAsia="Calibri" w:hAnsi="Calibri" w:cs="Arial"/>
          <w:szCs w:val="18"/>
        </w:rPr>
        <w:t xml:space="preserve"> </w:t>
      </w:r>
      <w:r w:rsidRPr="008D6EF7">
        <w:rPr>
          <w:rFonts w:ascii="Calibri" w:eastAsia="Calibri" w:hAnsi="Calibri" w:cs="Arial"/>
          <w:szCs w:val="18"/>
        </w:rPr>
        <w:t>tomar as medidas razoáveis para mitigar os efeitos e para minimizar quaisquer danos resultantes do Incidente de Segurança.</w:t>
      </w:r>
    </w:p>
    <w:p w:rsidR="00A71D6B" w:rsidRPr="008D6EF7" w:rsidRDefault="00A71D6B" w:rsidP="00BF75F8">
      <w:pPr>
        <w:pStyle w:val="ProductList-Body"/>
      </w:pPr>
    </w:p>
    <w:p w:rsidR="00BF75F8" w:rsidRPr="008D6EF7" w:rsidRDefault="00A95416" w:rsidP="00BF75F8">
      <w:pPr>
        <w:pStyle w:val="ProductList-Body"/>
      </w:pPr>
      <w:r w:rsidRPr="008D6EF7">
        <w:rPr>
          <w:rFonts w:ascii="Calibri" w:eastAsia="Calibri" w:hAnsi="Calibri" w:cs="Arial"/>
          <w:szCs w:val="18"/>
        </w:rPr>
        <w:t>As notificações de Incidentes de Segurança, se existirem, serão entregues a um ou mais contactos profissionais para os Serviços Profissionais do Cliente por qualquer meio que a Microsoft selecione, incluindo por e-mail.</w:t>
      </w:r>
    </w:p>
    <w:p w:rsidR="00A71D6B" w:rsidRPr="008D6EF7" w:rsidRDefault="00A71D6B" w:rsidP="00BF75F8">
      <w:pPr>
        <w:pStyle w:val="ProductList-Body"/>
      </w:pPr>
    </w:p>
    <w:p w:rsidR="00A71D6B" w:rsidRPr="008D6EF7" w:rsidRDefault="00A95416" w:rsidP="00A71D6B">
      <w:pPr>
        <w:pStyle w:val="ProductList-Body"/>
      </w:pPr>
      <w:r w:rsidRPr="008D6EF7">
        <w:rPr>
          <w:rFonts w:ascii="Calibri" w:eastAsia="Calibri" w:hAnsi="Calibri" w:cs="Arial"/>
          <w:szCs w:val="18"/>
        </w:rPr>
        <w:t xml:space="preserve">O Cliente é o único responsável pelo cumprimento das suas obrigações de notificação de incidentes previstas nas leis que lhe são aplicáveis e por cumprir quaisquer obrigações de notificação a terceiros relacionadas com qualquer Incidente de Segurança. </w:t>
      </w:r>
    </w:p>
    <w:p w:rsidR="00A71D6B" w:rsidRPr="008D6EF7" w:rsidRDefault="00A71D6B" w:rsidP="00A71D6B">
      <w:pPr>
        <w:pStyle w:val="ProductList-Body"/>
      </w:pPr>
    </w:p>
    <w:p w:rsidR="00A71D6B" w:rsidRPr="008D6EF7" w:rsidRDefault="00A95416" w:rsidP="00A71D6B">
      <w:pPr>
        <w:pStyle w:val="ProductList-Body"/>
      </w:pPr>
      <w:r w:rsidRPr="008D6EF7">
        <w:rPr>
          <w:rFonts w:ascii="Calibri" w:eastAsia="Calibri" w:hAnsi="Calibri" w:cs="Arial"/>
          <w:szCs w:val="18"/>
        </w:rPr>
        <w:t>A Microsoft envidará todos os esforços adequados para auxiliar o Cliente no cumprimento da obrigação do Cliente, prevista no Artigo 33.º do RGPD ou noutra lei ou regulamento aplicável, de notificar a autoridade de supervisão competente e os titulares dos dados sobre o referido Incidente de Segurança.</w:t>
      </w:r>
    </w:p>
    <w:p w:rsidR="00BF75F8" w:rsidRPr="008D6EF7" w:rsidRDefault="00A95416" w:rsidP="00BF75F8">
      <w:pPr>
        <w:pStyle w:val="ProductList-Body"/>
      </w:pPr>
      <w:r w:rsidRPr="008D6EF7">
        <w:rPr>
          <w:rFonts w:ascii="Calibri" w:eastAsia="Calibri" w:hAnsi="Calibri" w:cs="Arial"/>
          <w:szCs w:val="18"/>
        </w:rPr>
        <w:t>A obrigação da Microsoft de reportar ou responder a um Incidente de Segurança ao abrigo desta Secção não é nem será interpretada como uma confirmação por parte da Microsoft de qualquer falha ou responsabilidade relativamente ao Incidente de Segurança</w:t>
      </w:r>
    </w:p>
    <w:p w:rsidR="00BF75F8" w:rsidRPr="008D6EF7" w:rsidRDefault="00156B18" w:rsidP="00BF75F8">
      <w:pPr>
        <w:pStyle w:val="ProductList-Body"/>
      </w:pPr>
      <w:r w:rsidRPr="008D6EF7">
        <w:t xml:space="preserve"> </w:t>
      </w:r>
    </w:p>
    <w:p w:rsidR="00BF75F8" w:rsidRPr="008D6EF7" w:rsidRDefault="00A95416" w:rsidP="00BF75F8">
      <w:pPr>
        <w:pStyle w:val="ProductList-Body"/>
      </w:pPr>
      <w:bookmarkStart w:id="23" w:name="OnlineServiceSpecificTerms"/>
      <w:r w:rsidRPr="008D6EF7">
        <w:br w:type="page"/>
      </w:r>
    </w:p>
    <w:p w:rsidR="00BF75F8" w:rsidRPr="008D6EF7" w:rsidRDefault="00A95416" w:rsidP="00BF75F8">
      <w:pPr>
        <w:pStyle w:val="ProductList-SectionHeading"/>
        <w:outlineLvl w:val="0"/>
      </w:pPr>
      <w:bookmarkStart w:id="24" w:name="Attachment3"/>
      <w:bookmarkStart w:id="25" w:name="_Toc489605628"/>
      <w:bookmarkEnd w:id="23"/>
      <w:r w:rsidRPr="008D6EF7">
        <w:rPr>
          <w:rFonts w:ascii="Calibri Light" w:eastAsia="Calibri Light" w:hAnsi="Calibri Light" w:cs="Arial"/>
          <w:szCs w:val="40"/>
        </w:rPr>
        <w:lastRenderedPageBreak/>
        <w:t>Anexo 1</w:t>
      </w:r>
      <w:bookmarkEnd w:id="24"/>
      <w:bookmarkEnd w:id="25"/>
      <w:r w:rsidRPr="008D6EF7">
        <w:rPr>
          <w:rFonts w:ascii="Calibri Light" w:eastAsia="Calibri Light" w:hAnsi="Calibri Light" w:cs="Arial"/>
          <w:szCs w:val="40"/>
        </w:rPr>
        <w:t xml:space="preserve"> – As Cláusulas Contratuais-Tipo (Subcontratantes) para os Serviços de Suporte e Consultoria</w:t>
      </w:r>
    </w:p>
    <w:p w:rsidR="00624AB5" w:rsidRPr="008D6EF7" w:rsidRDefault="00A95416" w:rsidP="00624AB5">
      <w:pPr>
        <w:pStyle w:val="ProductList-Body"/>
      </w:pPr>
      <w:r w:rsidRPr="008D6EF7">
        <w:rPr>
          <w:rFonts w:ascii="Calibri" w:eastAsia="Calibri" w:hAnsi="Calibri" w:cs="Arial"/>
          <w:szCs w:val="18"/>
        </w:rPr>
        <w:t xml:space="preserve">A execução de uma declaração de serviços pelo Cliente inclui a execução deste Anexo 1, que será confirmado pela assinatura da Microsoft Corporation. Para ficar excluído da aplicação das </w:t>
      </w:r>
      <w:r w:rsidR="00156B18" w:rsidRPr="008D6EF7">
        <w:rPr>
          <w:rFonts w:ascii="Calibri" w:eastAsia="Calibri" w:hAnsi="Calibri" w:cs="Arial"/>
          <w:szCs w:val="18"/>
        </w:rPr>
        <w:t>“</w:t>
      </w:r>
      <w:r w:rsidRPr="008D6EF7">
        <w:rPr>
          <w:rFonts w:ascii="Calibri" w:eastAsia="Calibri" w:hAnsi="Calibri" w:cs="Arial"/>
          <w:szCs w:val="18"/>
        </w:rPr>
        <w:t>Cláusulas Contratuais-Tipo</w:t>
      </w:r>
      <w:r w:rsidR="00156B18" w:rsidRPr="008D6EF7">
        <w:rPr>
          <w:rFonts w:ascii="Calibri" w:eastAsia="Calibri" w:hAnsi="Calibri" w:cs="Arial"/>
          <w:szCs w:val="18"/>
        </w:rPr>
        <w:t>”</w:t>
      </w:r>
      <w:r w:rsidRPr="008D6EF7">
        <w:rPr>
          <w:rFonts w:ascii="Calibri" w:eastAsia="Calibri" w:hAnsi="Calibri" w:cs="Arial"/>
          <w:szCs w:val="18"/>
        </w:rPr>
        <w:t>, o Cliente deve enviar as seguintes informações para a Microsoft numa notificação por escrito (ao abrigo dos termos do Contrato do Cliente):</w:t>
      </w:r>
    </w:p>
    <w:p w:rsidR="00624AB5" w:rsidRPr="008D6EF7" w:rsidRDefault="00A95416" w:rsidP="00624AB5">
      <w:pPr>
        <w:pStyle w:val="ProductList-Body"/>
      </w:pPr>
      <w:r w:rsidRPr="008D6EF7">
        <w:rPr>
          <w:rFonts w:ascii="Calibri" w:eastAsia="Calibri" w:hAnsi="Calibri" w:cs="Arial"/>
          <w:szCs w:val="18"/>
        </w:rPr>
        <w:t>•</w:t>
      </w:r>
      <w:r w:rsidRPr="008D6EF7">
        <w:rPr>
          <w:rFonts w:ascii="Calibri" w:eastAsia="Calibri" w:hAnsi="Calibri" w:cs="Arial"/>
          <w:szCs w:val="18"/>
        </w:rPr>
        <w:tab/>
        <w:t>o nome jurídico completo do Cliente e qualquer Afiliada que opte ativamente por não ficar excluída;</w:t>
      </w:r>
    </w:p>
    <w:p w:rsidR="00624AB5" w:rsidRPr="008D6EF7" w:rsidRDefault="00A95416" w:rsidP="00624AB5">
      <w:pPr>
        <w:pStyle w:val="ProductList-Body"/>
      </w:pPr>
      <w:r w:rsidRPr="008D6EF7">
        <w:rPr>
          <w:rFonts w:ascii="Calibri" w:eastAsia="Calibri" w:hAnsi="Calibri" w:cs="Arial"/>
          <w:szCs w:val="18"/>
        </w:rPr>
        <w:t>•</w:t>
      </w:r>
      <w:r w:rsidRPr="008D6EF7">
        <w:rPr>
          <w:rFonts w:ascii="Calibri" w:eastAsia="Calibri" w:hAnsi="Calibri" w:cs="Arial"/>
          <w:szCs w:val="18"/>
        </w:rPr>
        <w:tab/>
        <w:t>se o Cliente tiver múltiplos Contratos, o Contrato ao qual a exclusão se aplica; e</w:t>
      </w:r>
    </w:p>
    <w:p w:rsidR="00624AB5" w:rsidRPr="008D6EF7" w:rsidRDefault="00A95416" w:rsidP="00624AB5">
      <w:pPr>
        <w:pStyle w:val="ProductList-Body"/>
      </w:pPr>
      <w:r w:rsidRPr="008D6EF7">
        <w:rPr>
          <w:rFonts w:ascii="Calibri" w:eastAsia="Calibri" w:hAnsi="Calibri" w:cs="Arial"/>
          <w:szCs w:val="18"/>
        </w:rPr>
        <w:t>•</w:t>
      </w:r>
      <w:r w:rsidRPr="008D6EF7">
        <w:rPr>
          <w:rFonts w:ascii="Calibri" w:eastAsia="Calibri" w:hAnsi="Calibri" w:cs="Arial"/>
          <w:szCs w:val="18"/>
        </w:rPr>
        <w:tab/>
        <w:t>uma declaração em como o Cliente (ou Afiliada) optou por ficar excluído da aplicação das Cláusulas Contratuais-Tipo.</w:t>
      </w:r>
    </w:p>
    <w:p w:rsidR="00624AB5" w:rsidRPr="008D6EF7" w:rsidRDefault="00A95416" w:rsidP="00624AB5">
      <w:pPr>
        <w:pStyle w:val="ProductList-Body"/>
      </w:pPr>
      <w:r w:rsidRPr="008D6EF7">
        <w:rPr>
          <w:rFonts w:ascii="Calibri" w:eastAsia="Calibri" w:hAnsi="Calibri" w:cs="Arial"/>
          <w:szCs w:val="18"/>
        </w:rP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rsidR="00624AB5" w:rsidRPr="008D6EF7" w:rsidRDefault="00A95416" w:rsidP="00624AB5">
      <w:pPr>
        <w:pStyle w:val="ProductList-Body"/>
      </w:pPr>
      <w:r w:rsidRPr="008D6EF7">
        <w:rPr>
          <w:rFonts w:ascii="Calibri" w:eastAsia="Calibri" w:hAnsi="Calibri" w:cs="Arial"/>
          <w:szCs w:val="18"/>
        </w:rPr>
        <w:t>A partir de 25 de maio de 2018 e posteriormente, as referências nas Cláusulas Contratuais-Tipo infra aos diversos Artigos da Diretiva 95/46/EC serão consideradas referências aos Artigos correspondentes e adequados do RGPD.</w:t>
      </w:r>
    </w:p>
    <w:p w:rsidR="00624AB5" w:rsidRPr="008D6EF7" w:rsidRDefault="00624AB5" w:rsidP="00624AB5">
      <w:pPr>
        <w:pStyle w:val="ProductList-Body"/>
      </w:pPr>
    </w:p>
    <w:p w:rsidR="00BF75F8" w:rsidRPr="008D6EF7" w:rsidRDefault="00A95416" w:rsidP="00624AB5">
      <w:pPr>
        <w:pStyle w:val="ProductList-Body"/>
      </w:pPr>
      <w:r w:rsidRPr="008D6EF7">
        <w:rPr>
          <w:rFonts w:ascii="Calibri" w:eastAsia="Calibri" w:hAnsi="Calibri" w:cs="Arial"/>
          <w:szCs w:val="18"/>
        </w:rPr>
        <w:t xml:space="preserve">Para efeitos do Artigo 26(2) da Diretiva 95/46/CE para a transferência de dados pessoais para os subcontratantes estabelecidos noutros países que não garantem um nível adequado de proteção de dados, o Cliente (como exportador de dados) e a Microsoft Corporation (como importador de dados, cuja assinatura aparece abaixo), a seguir denominados individualmente </w:t>
      </w:r>
      <w:r w:rsidR="00156B18" w:rsidRPr="008D6EF7">
        <w:rPr>
          <w:rFonts w:ascii="Calibri" w:eastAsia="Calibri" w:hAnsi="Calibri" w:cs="Arial"/>
          <w:szCs w:val="18"/>
        </w:rPr>
        <w:t>“</w:t>
      </w:r>
      <w:r w:rsidRPr="008D6EF7">
        <w:rPr>
          <w:rFonts w:ascii="Calibri" w:eastAsia="Calibri" w:hAnsi="Calibri" w:cs="Arial"/>
          <w:szCs w:val="18"/>
        </w:rPr>
        <w:t>parte</w:t>
      </w:r>
      <w:r w:rsidR="00156B18" w:rsidRPr="008D6EF7">
        <w:rPr>
          <w:rFonts w:ascii="Calibri" w:eastAsia="Calibri" w:hAnsi="Calibri" w:cs="Arial"/>
          <w:szCs w:val="18"/>
        </w:rPr>
        <w:t>”</w:t>
      </w:r>
      <w:r w:rsidRPr="008D6EF7">
        <w:rPr>
          <w:rFonts w:ascii="Calibri" w:eastAsia="Calibri" w:hAnsi="Calibri" w:cs="Arial"/>
          <w:szCs w:val="18"/>
        </w:rPr>
        <w:t xml:space="preserve"> e coletivamente </w:t>
      </w:r>
      <w:r w:rsidR="00156B18" w:rsidRPr="008D6EF7">
        <w:rPr>
          <w:rFonts w:ascii="Calibri" w:eastAsia="Calibri" w:hAnsi="Calibri" w:cs="Arial"/>
          <w:szCs w:val="18"/>
        </w:rPr>
        <w:t>“</w:t>
      </w:r>
      <w:r w:rsidRPr="008D6EF7">
        <w:rPr>
          <w:rFonts w:ascii="Calibri" w:eastAsia="Calibri" w:hAnsi="Calibri" w:cs="Arial"/>
          <w:szCs w:val="18"/>
        </w:rPr>
        <w:t>partes</w:t>
      </w:r>
      <w:r w:rsidR="00156B18" w:rsidRPr="008D6EF7">
        <w:rPr>
          <w:rFonts w:ascii="Calibri" w:eastAsia="Calibri" w:hAnsi="Calibri" w:cs="Arial"/>
          <w:szCs w:val="18"/>
        </w:rPr>
        <w:t>”</w:t>
      </w:r>
      <w:r w:rsidRPr="008D6EF7">
        <w:rPr>
          <w:rFonts w:ascii="Calibri" w:eastAsia="Calibri" w:hAnsi="Calibri" w:cs="Arial"/>
          <w:szCs w:val="18"/>
        </w:rPr>
        <w:t xml:space="preserve">, concordam com as seguintes Cláusulas Contratuais (as </w:t>
      </w:r>
      <w:r w:rsidR="00156B18" w:rsidRPr="008D6EF7">
        <w:rPr>
          <w:rFonts w:ascii="Calibri" w:eastAsia="Calibri" w:hAnsi="Calibri" w:cs="Arial"/>
          <w:szCs w:val="18"/>
        </w:rPr>
        <w:t>“</w:t>
      </w:r>
      <w:r w:rsidRPr="008D6EF7">
        <w:rPr>
          <w:rFonts w:ascii="Calibri" w:eastAsia="Calibri" w:hAnsi="Calibri" w:cs="Arial"/>
          <w:szCs w:val="18"/>
        </w:rPr>
        <w:t>Cláusulas</w:t>
      </w:r>
      <w:r w:rsidR="00156B18" w:rsidRPr="008D6EF7">
        <w:rPr>
          <w:rFonts w:ascii="Calibri" w:eastAsia="Calibri" w:hAnsi="Calibri" w:cs="Arial"/>
          <w:szCs w:val="18"/>
        </w:rPr>
        <w:t>”</w:t>
      </w:r>
      <w:r w:rsidRPr="008D6EF7">
        <w:rPr>
          <w:rFonts w:ascii="Calibri" w:eastAsia="Calibri" w:hAnsi="Calibri" w:cs="Arial"/>
          <w:szCs w:val="18"/>
        </w:rPr>
        <w:t xml:space="preserve"> ou </w:t>
      </w:r>
      <w:r w:rsidR="00156B18" w:rsidRPr="008D6EF7">
        <w:rPr>
          <w:rFonts w:ascii="Calibri" w:eastAsia="Calibri" w:hAnsi="Calibri" w:cs="Arial"/>
          <w:szCs w:val="18"/>
        </w:rPr>
        <w:t>“</w:t>
      </w:r>
      <w:r w:rsidRPr="008D6EF7">
        <w:rPr>
          <w:rFonts w:ascii="Calibri" w:eastAsia="Calibri" w:hAnsi="Calibri" w:cs="Arial"/>
          <w:szCs w:val="18"/>
        </w:rPr>
        <w:t>Cláusulas Contratuais-Tipo</w:t>
      </w:r>
      <w:r w:rsidR="00156B18" w:rsidRPr="008D6EF7">
        <w:rPr>
          <w:rFonts w:ascii="Calibri" w:eastAsia="Calibri" w:hAnsi="Calibri" w:cs="Arial"/>
          <w:szCs w:val="18"/>
        </w:rPr>
        <w:t>”</w:t>
      </w:r>
      <w:r w:rsidRPr="008D6EF7">
        <w:rPr>
          <w:rFonts w:ascii="Calibri" w:eastAsia="Calibri" w:hAnsi="Calibri" w:cs="Arial"/>
          <w:szCs w:val="18"/>
        </w:rPr>
        <w:t>) para alegar medidas de segurança adequadas em relação à proteção da privacidade e direitos e liberdades fundamentais das pessoas para a transferência pelo exportador de dados para o importador dos dados pessoais especificados no Apêndice 1.</w:t>
      </w:r>
    </w:p>
    <w:p w:rsidR="00BF75F8" w:rsidRPr="008D6EF7" w:rsidRDefault="00BF75F8" w:rsidP="00BF75F8">
      <w:pPr>
        <w:pStyle w:val="ProductList-Body"/>
      </w:pPr>
    </w:p>
    <w:p w:rsidR="00BF75F8" w:rsidRPr="008D6EF7" w:rsidRDefault="00A95416" w:rsidP="00BF75F8">
      <w:pPr>
        <w:pStyle w:val="ProductList-Body"/>
        <w:jc w:val="center"/>
        <w:outlineLvl w:val="1"/>
        <w:rPr>
          <w:b/>
        </w:rPr>
      </w:pPr>
      <w:r w:rsidRPr="008D6EF7">
        <w:rPr>
          <w:rFonts w:ascii="Calibri" w:eastAsia="Calibri" w:hAnsi="Calibri" w:cs="Arial"/>
          <w:b/>
          <w:szCs w:val="18"/>
        </w:rPr>
        <w:t>Cláusula 1: Definições</w:t>
      </w:r>
    </w:p>
    <w:p w:rsidR="00BF75F8" w:rsidRPr="008D6EF7" w:rsidRDefault="00BF75F8" w:rsidP="00BF75F8">
      <w:pPr>
        <w:pStyle w:val="ProductList-Body"/>
      </w:pP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a) «Dados pessoais», «categorias especiais de dados», «tratamento», «responsável pelo tratamento», «subcontratante», «titular dos dados» e «autoridade de controlo» têm o mesmo significado que na Directiva 95/46/CE do Parlamento Europeu e do Conselho, de 24 de Outubro de 1995, relativa à protecção das pessoas singulares no que diz respeito ao tratamento de dados pessoais e à livre circulação desses dados;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b) «Exportador de dados» é o responsável pelo tratamento que transfere os dados pessoais;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c) «Importador de dados»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protecção adequada na acepção do artigo 25. o , n. o 1, da Directiva 95/46/CE;</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d) «Subcontratante ulterior» é qualquer subcontratante do importador de dados ou de qualquer outro subcontratante do importador de dados que aceite receber do importador de dados ou de qualquer outro seu subcontratante dados pessoais destinados exclusivamente a actividades de tratamento a realizar por conta do exportador de dados após a transferência, em conformidade com as suas instruções, as condições previstas nas cláusulas e as condições do subcontrato escrito;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e) «Legislação sobre protecção de dados aplicável» é a legislação que protege os direitos e as liberdades fundamentais das pessoas e, em especial, o seu direito à protecção da vida privada no que diz respeito ao tratamento dos seus dados pessoais, aplicável a um responsável pelo tratamento dos dados no Estado-Membro em que o exportador de dados está estabelecido;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f) «Medidas de segurança técnicas e organizativas»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rsidR="00BF75F8" w:rsidRPr="008D6EF7" w:rsidRDefault="00BF75F8" w:rsidP="00BF75F8">
      <w:pPr>
        <w:pStyle w:val="ProductList-Body"/>
      </w:pPr>
    </w:p>
    <w:p w:rsidR="00BF75F8" w:rsidRPr="008D6EF7" w:rsidRDefault="00A95416" w:rsidP="00BF75F8">
      <w:pPr>
        <w:pStyle w:val="ProductList-Body"/>
        <w:jc w:val="center"/>
        <w:outlineLvl w:val="1"/>
        <w:rPr>
          <w:b/>
        </w:rPr>
      </w:pPr>
      <w:r w:rsidRPr="008D6EF7">
        <w:rPr>
          <w:rFonts w:ascii="Calibri" w:eastAsia="Calibri" w:hAnsi="Calibri" w:cs="Arial"/>
          <w:b/>
          <w:szCs w:val="18"/>
        </w:rPr>
        <w:t>Cláusula 2: Pormenores da transferência</w:t>
      </w:r>
    </w:p>
    <w:p w:rsidR="00BF75F8" w:rsidRPr="008D6EF7" w:rsidRDefault="00BF75F8" w:rsidP="00BF75F8">
      <w:pPr>
        <w:pStyle w:val="ProductList-Body"/>
      </w:pPr>
    </w:p>
    <w:p w:rsidR="00372ADC" w:rsidRPr="008D6EF7" w:rsidRDefault="00372ADC" w:rsidP="00372ADC">
      <w:pPr>
        <w:pStyle w:val="ProductList-Body"/>
        <w:rPr>
          <w:rFonts w:ascii="Calibri" w:eastAsia="Calibri" w:hAnsi="Calibri" w:cs="Arial"/>
          <w:szCs w:val="18"/>
        </w:rPr>
      </w:pPr>
      <w:r w:rsidRPr="008D6EF7">
        <w:rPr>
          <w:rFonts w:ascii="Calibri" w:eastAsia="Calibri" w:hAnsi="Calibri" w:cs="Arial"/>
          <w:szCs w:val="18"/>
        </w:rPr>
        <w:t xml:space="preserve">Os pormenores da transferência e em especial as categorias especiais de dados pessoais, quando aplicável, são especificados no apêndice 1, que faz parte integrante das presentes cláusulas. </w:t>
      </w:r>
    </w:p>
    <w:p w:rsidR="00BF75F8" w:rsidRPr="008D6EF7" w:rsidRDefault="00BF75F8" w:rsidP="00BF75F8">
      <w:pPr>
        <w:pStyle w:val="ProductList-Body"/>
      </w:pPr>
    </w:p>
    <w:p w:rsidR="00BF75F8" w:rsidRPr="008D6EF7" w:rsidRDefault="00A95416" w:rsidP="00BF75F8">
      <w:pPr>
        <w:pStyle w:val="ProductList-Body"/>
        <w:jc w:val="center"/>
        <w:outlineLvl w:val="1"/>
        <w:rPr>
          <w:b/>
        </w:rPr>
      </w:pPr>
      <w:r w:rsidRPr="008D6EF7">
        <w:rPr>
          <w:rFonts w:ascii="Calibri" w:eastAsia="Calibri" w:hAnsi="Calibri" w:cs="Arial"/>
          <w:b/>
          <w:szCs w:val="18"/>
        </w:rPr>
        <w:t>Cláusula 3: Cláusula do terceiro beneficiário</w:t>
      </w:r>
    </w:p>
    <w:p w:rsidR="00BF75F8" w:rsidRPr="008D6EF7" w:rsidRDefault="00BF75F8" w:rsidP="00BF75F8">
      <w:pPr>
        <w:pStyle w:val="ProductList-Body"/>
      </w:pP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1. O titular dos dados pode fazer aplicar contra o exportador de dados a presente cláusula, a cláusula 4, alíneas b) a i), a cláusula 5, alíneas a) a e) e g) a j), a cláusula 6, n. os 1 e 2, a cláusula 7, a cláusula 8, n. o 2, e as cláusulas 9 a 12, na qualidade de terceiro beneficiário.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2. O titular dos dados pode fazer aplicar, contra o importador de dados a presente cláusula, a cláusula 5, alíneas a) a e) e g), as cláusulas 6 e 7, a cláusula 8, n. o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lastRenderedPageBreak/>
        <w:t xml:space="preserve">3. O titular dos dados pode fazer aplicar, contra o subcontratante ulterior a presente cláusula, a cláusula 5, alíneas a) a e) e g), as cláusulas 6 e 7, a cláusula 8, n. o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actividades de tratamento de dados ao abrigo das presentes cláusulas.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4. As partes não se opõem a que o titular dos dados seja representado por uma associação ou outro organismo se, expressamente, assim o desejar e a legislação nacional o permitir. </w:t>
      </w:r>
    </w:p>
    <w:p w:rsidR="00BF75F8" w:rsidRPr="008D6EF7" w:rsidRDefault="00BF75F8" w:rsidP="00BF75F8">
      <w:pPr>
        <w:pStyle w:val="ProductList-Body"/>
      </w:pPr>
    </w:p>
    <w:p w:rsidR="00BF75F8" w:rsidRPr="008D6EF7" w:rsidRDefault="00A95416" w:rsidP="00BF75F8">
      <w:pPr>
        <w:rPr>
          <w:b/>
          <w:sz w:val="18"/>
        </w:rPr>
      </w:pPr>
      <w:r w:rsidRPr="008D6EF7">
        <w:rPr>
          <w:b/>
        </w:rPr>
        <w:br w:type="page"/>
      </w:r>
    </w:p>
    <w:p w:rsidR="00BF75F8" w:rsidRPr="008D6EF7" w:rsidRDefault="00A95416" w:rsidP="00BF75F8">
      <w:pPr>
        <w:pStyle w:val="ProductList-Body"/>
        <w:keepNext/>
        <w:jc w:val="center"/>
        <w:outlineLvl w:val="1"/>
        <w:rPr>
          <w:b/>
        </w:rPr>
      </w:pPr>
      <w:r w:rsidRPr="008D6EF7">
        <w:rPr>
          <w:rFonts w:ascii="Calibri" w:eastAsia="Calibri" w:hAnsi="Calibri" w:cs="Arial"/>
          <w:b/>
          <w:szCs w:val="18"/>
        </w:rPr>
        <w:lastRenderedPageBreak/>
        <w:t>Cláusula 4: Obrigações do exportador de dados</w:t>
      </w:r>
    </w:p>
    <w:p w:rsidR="00BF75F8" w:rsidRPr="008D6EF7" w:rsidRDefault="00BF75F8" w:rsidP="00BF75F8">
      <w:pPr>
        <w:pStyle w:val="ProductList-Body"/>
        <w:keepNext/>
      </w:pPr>
    </w:p>
    <w:p w:rsidR="00BF75F8" w:rsidRPr="008D6EF7" w:rsidRDefault="00A95416" w:rsidP="00BF75F8">
      <w:pPr>
        <w:pStyle w:val="ProductList-Body"/>
        <w:keepNext/>
      </w:pPr>
      <w:r w:rsidRPr="008D6EF7">
        <w:rPr>
          <w:rFonts w:ascii="Calibri" w:eastAsia="Calibri" w:hAnsi="Calibri" w:cs="Arial"/>
          <w:szCs w:val="18"/>
        </w:rPr>
        <w:t xml:space="preserve">O exportador de dados concorda e garante: </w:t>
      </w:r>
    </w:p>
    <w:p w:rsidR="00BF75F8" w:rsidRPr="008D6EF7" w:rsidRDefault="00BF75F8" w:rsidP="00BF75F8">
      <w:pPr>
        <w:pStyle w:val="ProductList-Body"/>
      </w:pP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a) Que o tratamento dos dados pessoais, incluindo a própria transferência, foi e continuará a ser feito de acordo com as disposições pertinentes da legislação sobre protecção de dados aplicável (e que, se aplicável, foi notificada às entidades competentes do Estado-Membro em que o exportador de dados está estabelecido) e que não viola as disposições pertinentes desse Estado;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b) Que deu e continuará a dar instruções ao importador de dados durante os serviços de tratamento de dados pessoais para tratar os dados pessoais transferidos apenas por conta do exportador de dados e em conformidade com a legislação sobre protecção de dados aplicável e com as cláusulas;</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c) Que o importador de dados oferecerá garantias suficientes em relação às medidas de segurança técnicas e organizativas especificadas no Apêndice 2 do presente contrato;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d) Que, depois de avaliar os requisitos da legislação sobre protecção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e) Que zelará pelo cumprimento das medidas de segurança;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protecção adequado na acepção da Directiva 95/46/CE;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g) Que enviará qualquer notificação recebida do importador de dados ou de qualquer subcontratante ulterior à autoridade de controlo responsável pela protecção dos dados, nos termos da cláusula 5, alínea b), e da cláusula 8, n. o 3, se decidir continuar a transferência ou levantar a suspensão;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h) Que disponibilizará aos titulares dos dados, mediante pedido, um exemplar das cláusulas, com excepção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i) Que, em caso de subcontratação ulterior, a actividade de tratamento é realizada em conformidade com a cláusula 11 por um subcontratante que assegure pelo menos o mesmo nível de protecção dos dados pessoais e dos direitos dos titulares dos dados que o importador de dados em conformidade com as cláusulas; e </w:t>
      </w:r>
    </w:p>
    <w:p w:rsidR="00372ADC" w:rsidRPr="008D6EF7" w:rsidRDefault="00372ADC" w:rsidP="00372ADC">
      <w:pPr>
        <w:pStyle w:val="ProductList-Body"/>
        <w:spacing w:after="120"/>
        <w:rPr>
          <w:rFonts w:ascii="Calibri" w:eastAsia="Calibri" w:hAnsi="Calibri" w:cs="Arial"/>
          <w:szCs w:val="18"/>
        </w:rPr>
      </w:pPr>
      <w:r w:rsidRPr="008D6EF7">
        <w:rPr>
          <w:rFonts w:ascii="Calibri" w:eastAsia="Calibri" w:hAnsi="Calibri" w:cs="Arial"/>
          <w:szCs w:val="18"/>
        </w:rPr>
        <w:t xml:space="preserve">j) Que zelará pelo cumprimento da cláusula 4, alíneas a) a i). </w:t>
      </w:r>
    </w:p>
    <w:p w:rsidR="00BF75F8" w:rsidRPr="008D6EF7" w:rsidRDefault="00BF75F8" w:rsidP="00BF75F8">
      <w:pPr>
        <w:pStyle w:val="ProductList-Body"/>
      </w:pPr>
    </w:p>
    <w:p w:rsidR="00BF75F8" w:rsidRPr="008D6EF7" w:rsidRDefault="00A95416" w:rsidP="00BF75F8">
      <w:pPr>
        <w:pStyle w:val="ProductList-Body"/>
        <w:jc w:val="center"/>
        <w:outlineLvl w:val="1"/>
        <w:rPr>
          <w:b/>
        </w:rPr>
      </w:pPr>
      <w:r w:rsidRPr="008D6EF7">
        <w:rPr>
          <w:rFonts w:ascii="Calibri" w:eastAsia="Calibri" w:hAnsi="Calibri" w:cs="Arial"/>
          <w:b/>
          <w:szCs w:val="18"/>
        </w:rPr>
        <w:t>Cláusula 5: Obrigações do importador de dados</w:t>
      </w:r>
    </w:p>
    <w:p w:rsidR="00BF75F8" w:rsidRPr="008D6EF7" w:rsidRDefault="00BF75F8" w:rsidP="00BF75F8">
      <w:pPr>
        <w:pStyle w:val="ProductList-Body"/>
      </w:pPr>
    </w:p>
    <w:p w:rsidR="003C5B07" w:rsidRPr="008D6EF7" w:rsidRDefault="003C5B07" w:rsidP="003C5B07">
      <w:pPr>
        <w:pStyle w:val="ProductList-Body"/>
      </w:pPr>
      <w:r w:rsidRPr="008D6EF7">
        <w:t>O importador de dados acorda e garante:</w:t>
      </w:r>
    </w:p>
    <w:p w:rsidR="00BF75F8" w:rsidRPr="008D6EF7" w:rsidRDefault="00BF75F8" w:rsidP="00BF75F8">
      <w:pPr>
        <w:pStyle w:val="ProductList-Body"/>
      </w:pPr>
    </w:p>
    <w:p w:rsidR="003C5B07" w:rsidRPr="008D6EF7" w:rsidRDefault="003C5B07" w:rsidP="003C5B07">
      <w:pPr>
        <w:pStyle w:val="ProductList-Body"/>
        <w:spacing w:after="120"/>
        <w:rPr>
          <w:rFonts w:ascii="Calibri" w:eastAsia="Calibri" w:hAnsi="Calibri" w:cs="Arial"/>
          <w:szCs w:val="18"/>
        </w:rPr>
      </w:pPr>
      <w:r w:rsidRPr="008D6EF7">
        <w:rPr>
          <w:rFonts w:ascii="Calibri" w:eastAsia="Calibri" w:hAnsi="Calibri" w:cs="Arial"/>
          <w:szCs w:val="18"/>
        </w:rP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rsidR="003C5B07" w:rsidRPr="008D6EF7" w:rsidRDefault="003C5B07" w:rsidP="003C5B07">
      <w:pPr>
        <w:pStyle w:val="ProductList-Body"/>
        <w:spacing w:after="120"/>
        <w:rPr>
          <w:rFonts w:ascii="Calibri" w:eastAsia="Calibri" w:hAnsi="Calibri" w:cs="Arial"/>
          <w:szCs w:val="18"/>
        </w:rPr>
      </w:pPr>
      <w:r w:rsidRPr="008D6EF7">
        <w:rPr>
          <w:rFonts w:ascii="Calibri" w:eastAsia="Calibri" w:hAnsi="Calibri" w:cs="Arial"/>
          <w:szCs w:val="18"/>
        </w:rP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rsidR="003C5B07" w:rsidRPr="008D6EF7" w:rsidRDefault="003C5B07" w:rsidP="003C5B07">
      <w:pPr>
        <w:pStyle w:val="ProductList-Body"/>
        <w:spacing w:after="120"/>
        <w:rPr>
          <w:rFonts w:ascii="Calibri" w:eastAsia="Calibri" w:hAnsi="Calibri" w:cs="Arial"/>
          <w:szCs w:val="18"/>
        </w:rPr>
      </w:pPr>
      <w:r w:rsidRPr="008D6EF7">
        <w:rPr>
          <w:rFonts w:ascii="Calibri" w:eastAsia="Calibri" w:hAnsi="Calibri" w:cs="Arial"/>
          <w:szCs w:val="18"/>
        </w:rPr>
        <w:t>c) Que aplicou as medidas de segurança técnicas e organizativas previstas no Apêndice 2 antes de tratar os dados pessoais transferidos;</w:t>
      </w:r>
    </w:p>
    <w:p w:rsidR="003C5B07" w:rsidRPr="008D6EF7" w:rsidRDefault="003C5B07" w:rsidP="003C5B07">
      <w:pPr>
        <w:pStyle w:val="ProductList-Body"/>
        <w:spacing w:after="120"/>
        <w:rPr>
          <w:rFonts w:ascii="Calibri" w:eastAsia="Calibri" w:hAnsi="Calibri" w:cs="Arial"/>
          <w:szCs w:val="18"/>
        </w:rPr>
      </w:pPr>
      <w:r w:rsidRPr="008D6EF7">
        <w:rPr>
          <w:rFonts w:ascii="Calibri" w:eastAsia="Calibri" w:hAnsi="Calibri" w:cs="Arial"/>
          <w:szCs w:val="18"/>
        </w:rPr>
        <w:t xml:space="preserve">d) Que notificará imediatamente o exportador de dados no que respeita a: </w:t>
      </w:r>
    </w:p>
    <w:p w:rsidR="00551D0E" w:rsidRPr="008D6EF7" w:rsidRDefault="003C5B07" w:rsidP="00551D0E">
      <w:pPr>
        <w:pStyle w:val="ProductList-Body"/>
        <w:spacing w:after="60"/>
        <w:ind w:left="360"/>
        <w:rPr>
          <w:rFonts w:ascii="Calibri" w:eastAsia="Calibri" w:hAnsi="Calibri" w:cs="Arial"/>
          <w:szCs w:val="18"/>
        </w:rPr>
      </w:pPr>
      <w:r w:rsidRPr="008D6EF7" w:rsidDel="003C5B07">
        <w:rPr>
          <w:rFonts w:ascii="Calibri" w:eastAsia="Calibri" w:hAnsi="Calibri" w:cs="Arial"/>
          <w:szCs w:val="18"/>
        </w:rPr>
        <w:t xml:space="preserve"> </w:t>
      </w:r>
      <w:r w:rsidR="00551D0E" w:rsidRPr="008D6EF7">
        <w:rPr>
          <w:rFonts w:ascii="Calibri" w:eastAsia="Calibri" w:hAnsi="Calibri" w:cs="Arial"/>
          <w:szCs w:val="18"/>
        </w:rP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rsidR="00551D0E" w:rsidRPr="008D6EF7" w:rsidRDefault="00551D0E" w:rsidP="00551D0E">
      <w:pPr>
        <w:pStyle w:val="ProductList-Body"/>
        <w:spacing w:after="60"/>
        <w:ind w:left="360"/>
        <w:rPr>
          <w:rFonts w:ascii="Calibri" w:eastAsia="Calibri" w:hAnsi="Calibri" w:cs="Arial"/>
          <w:szCs w:val="18"/>
        </w:rPr>
      </w:pPr>
      <w:r w:rsidRPr="008D6EF7">
        <w:rPr>
          <w:rFonts w:ascii="Calibri" w:eastAsia="Calibri" w:hAnsi="Calibri" w:cs="Arial"/>
          <w:szCs w:val="18"/>
        </w:rPr>
        <w:t xml:space="preserve">ii) qualquer acesso acidental ou não autorizado; e </w:t>
      </w:r>
    </w:p>
    <w:p w:rsidR="00551D0E" w:rsidRPr="008D6EF7" w:rsidRDefault="00551D0E" w:rsidP="00551D0E">
      <w:pPr>
        <w:pStyle w:val="ProductList-Body"/>
        <w:spacing w:after="60"/>
        <w:ind w:left="360"/>
        <w:rPr>
          <w:rFonts w:ascii="Calibri" w:eastAsia="Calibri" w:hAnsi="Calibri" w:cs="Arial"/>
          <w:szCs w:val="18"/>
        </w:rPr>
      </w:pPr>
      <w:r w:rsidRPr="008D6EF7">
        <w:rPr>
          <w:rFonts w:ascii="Calibri" w:eastAsia="Calibri" w:hAnsi="Calibri" w:cs="Arial"/>
          <w:szCs w:val="18"/>
        </w:rPr>
        <w:t xml:space="preserve">iii) qualquer pedido recebido directamente dos titulares de dados, sem responder a esse pedido, a não ser que tenha sido autorizado a fazê-lo; </w:t>
      </w:r>
    </w:p>
    <w:p w:rsidR="00551D0E" w:rsidRPr="008D6EF7" w:rsidRDefault="00551D0E" w:rsidP="00551D0E">
      <w:pPr>
        <w:pStyle w:val="ProductList-Body"/>
        <w:spacing w:after="120"/>
        <w:rPr>
          <w:rFonts w:ascii="Calibri" w:eastAsia="Calibri" w:hAnsi="Calibri" w:cs="Arial"/>
          <w:szCs w:val="18"/>
        </w:rPr>
      </w:pPr>
      <w:r w:rsidRPr="008D6EF7" w:rsidDel="00551D0E">
        <w:rPr>
          <w:rFonts w:ascii="Calibri" w:eastAsia="Calibri" w:hAnsi="Calibri" w:cs="Arial"/>
          <w:szCs w:val="18"/>
        </w:rPr>
        <w:t xml:space="preserve"> </w:t>
      </w:r>
      <w:r w:rsidRPr="008D6EF7">
        <w:rPr>
          <w:rFonts w:ascii="Calibri" w:eastAsia="Calibri" w:hAnsi="Calibri" w:cs="Arial"/>
          <w:szCs w:val="18"/>
        </w:rPr>
        <w:t xml:space="preserve">e) Que responderá rápida e adequadamente a todos os pedidos de informação do exportador de dados relacionados com o tratamento por si efectuado dos dados pessoais objecto da transferência e que se submeterá aos conselhos da autoridade de controlo relativamente ao tratamento dos dados transferidos; </w:t>
      </w: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lastRenderedPageBreak/>
        <w:t xml:space="preserve">f) Que, a pedido do exportador de dados, apresentará os seus meios de tratamento de dados para auditoria das actividades de tratamento abrangidas pelas cláusulas, que será efectuada pelo exportador de dados ou por um organismo de inspecção, composto por membros independentes que possuam as qualificações profissionais exigidas e estejam vinculados por um dever de confidencialidade, escolhido pelo exportador de dados e, se necessário, de acordo com a autoridade de controlo; </w:t>
      </w: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excepção do Apêndice 2, que é substituído por uma descrição sumária das medidas de segurança, no caso de o titular dos dados não poder obter um exemplar do exportador de dados; </w:t>
      </w: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t xml:space="preserve">h) Que, em caso de subcontratação ulterior, informou previamente o exportador de dados e obteve o seu consentimento escrito prévio; </w:t>
      </w: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t xml:space="preserve">i) Que os serviços de tratamento de dados efectuados pelo subcontratante ulterior serão prestados em conformidade com a cláusula 11; </w:t>
      </w: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t xml:space="preserve">j) Que envia rapidamente ao exportador de dados uma cópia de qualquer acordo de subcontratação ulterior que celebrar ao abrigo das cláusulas. </w:t>
      </w:r>
    </w:p>
    <w:p w:rsidR="00BF75F8" w:rsidRPr="008D6EF7" w:rsidRDefault="00BF75F8" w:rsidP="00BF75F8">
      <w:pPr>
        <w:pStyle w:val="ProductList-Body"/>
      </w:pPr>
    </w:p>
    <w:p w:rsidR="00BF75F8" w:rsidRPr="008D6EF7" w:rsidRDefault="00A95416" w:rsidP="00BF75F8">
      <w:pPr>
        <w:pStyle w:val="ProductList-Body"/>
        <w:jc w:val="center"/>
        <w:outlineLvl w:val="1"/>
        <w:rPr>
          <w:b/>
        </w:rPr>
      </w:pPr>
      <w:r w:rsidRPr="008D6EF7">
        <w:rPr>
          <w:rFonts w:ascii="Calibri" w:eastAsia="Calibri" w:hAnsi="Calibri" w:cs="Arial"/>
          <w:b/>
          <w:szCs w:val="18"/>
        </w:rPr>
        <w:t>Cláusula 6: Responsabilidade</w:t>
      </w:r>
    </w:p>
    <w:p w:rsidR="00BF75F8" w:rsidRPr="008D6EF7" w:rsidRDefault="00BF75F8" w:rsidP="00BF75F8">
      <w:pPr>
        <w:pStyle w:val="ProductList-Body"/>
      </w:pP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t xml:space="preserve">2. Se o titular dos dados não puder intentar uma acção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acção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t xml:space="preserve">O importador de dados não pode invocar o incumprimento por um subcontratante ulterior das suas obrigações para se eximir às suas próprias responsabilidades. </w:t>
      </w:r>
    </w:p>
    <w:p w:rsidR="00551D0E" w:rsidRPr="008D6EF7" w:rsidRDefault="00551D0E" w:rsidP="00551D0E">
      <w:pPr>
        <w:pStyle w:val="ProductList-Body"/>
        <w:spacing w:after="120"/>
        <w:rPr>
          <w:rFonts w:ascii="Calibri" w:eastAsia="Calibri" w:hAnsi="Calibri" w:cs="Arial"/>
          <w:szCs w:val="18"/>
        </w:rPr>
      </w:pPr>
      <w:r w:rsidRPr="008D6EF7">
        <w:rPr>
          <w:rFonts w:ascii="Calibri" w:eastAsia="Calibri" w:hAnsi="Calibri" w:cs="Arial"/>
          <w:szCs w:val="18"/>
        </w:rPr>
        <w:t>3. Se o titular dos dados não puder intentar a acção referida nos n. os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acção relativamente às suas próprias actividades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actividades de tratamento de dados ao abrigo das cláusulas.</w:t>
      </w:r>
    </w:p>
    <w:p w:rsidR="00BF75F8" w:rsidRPr="008D6EF7" w:rsidRDefault="00BF75F8" w:rsidP="00BF75F8">
      <w:pPr>
        <w:pStyle w:val="ProductList-Body"/>
      </w:pPr>
    </w:p>
    <w:p w:rsidR="00BF75F8" w:rsidRPr="008D6EF7" w:rsidRDefault="00A95416" w:rsidP="00BF75F8">
      <w:pPr>
        <w:pStyle w:val="ProductList-Body"/>
        <w:jc w:val="center"/>
        <w:outlineLvl w:val="1"/>
        <w:rPr>
          <w:b/>
        </w:rPr>
      </w:pPr>
      <w:r w:rsidRPr="008D6EF7">
        <w:rPr>
          <w:rFonts w:ascii="Calibri" w:eastAsia="Calibri" w:hAnsi="Calibri" w:cs="Arial"/>
          <w:b/>
          <w:szCs w:val="18"/>
        </w:rPr>
        <w:t>Cláusula 7: Mediação e jurisdição</w:t>
      </w:r>
    </w:p>
    <w:p w:rsidR="00BF75F8" w:rsidRPr="008D6EF7" w:rsidRDefault="00BF75F8" w:rsidP="00BF75F8">
      <w:pPr>
        <w:pStyle w:val="ProductList-Body"/>
      </w:pPr>
    </w:p>
    <w:p w:rsidR="00BF75F8" w:rsidRPr="008D6EF7" w:rsidRDefault="009E497B" w:rsidP="009E497B">
      <w:pPr>
        <w:pStyle w:val="ProductList-Body"/>
      </w:pPr>
      <w:r w:rsidRPr="008D6EF7">
        <w:rPr>
          <w:rFonts w:ascii="Calibri" w:eastAsia="Calibri" w:hAnsi="Calibri" w:cs="Arial"/>
          <w:szCs w:val="18"/>
        </w:rPr>
        <w:t>1. O importador de dados acorda que se o titular dos dados invocar contra ele os direitos de terceiro beneficiário e/ou exigir uma indemnização por perdas e danos ao abrigo das cláusulas, aceita a decisão do titular dos dados de</w:t>
      </w:r>
      <w:r w:rsidR="00A95416" w:rsidRPr="008D6EF7">
        <w:rPr>
          <w:rFonts w:ascii="Calibri" w:eastAsia="Calibri" w:hAnsi="Calibri" w:cs="Arial"/>
          <w:szCs w:val="18"/>
        </w:rPr>
        <w:t xml:space="preserve">: </w:t>
      </w:r>
    </w:p>
    <w:p w:rsidR="009E497B" w:rsidRPr="008D6EF7" w:rsidRDefault="009E497B" w:rsidP="009E497B">
      <w:pPr>
        <w:pStyle w:val="ProductList-Body"/>
        <w:spacing w:after="60"/>
        <w:ind w:left="360"/>
        <w:rPr>
          <w:rFonts w:ascii="Calibri" w:eastAsia="Calibri" w:hAnsi="Calibri" w:cs="Arial"/>
          <w:szCs w:val="18"/>
        </w:rPr>
      </w:pPr>
      <w:r w:rsidRPr="008D6EF7">
        <w:rPr>
          <w:rFonts w:ascii="Calibri" w:eastAsia="Calibri" w:hAnsi="Calibri" w:cs="Arial"/>
          <w:szCs w:val="18"/>
        </w:rPr>
        <w:t xml:space="preserve">a) Submeter o litígio a mediação de uma pessoa independente ou, quando aplicável, da autoridade de controlo; </w:t>
      </w:r>
    </w:p>
    <w:p w:rsidR="009E497B" w:rsidRPr="008D6EF7" w:rsidRDefault="009E497B" w:rsidP="009E497B">
      <w:pPr>
        <w:pStyle w:val="ProductList-Body"/>
        <w:spacing w:after="60"/>
        <w:ind w:left="360"/>
        <w:rPr>
          <w:rFonts w:ascii="Calibri" w:eastAsia="Calibri" w:hAnsi="Calibri" w:cs="Arial"/>
          <w:szCs w:val="18"/>
        </w:rPr>
      </w:pPr>
      <w:r w:rsidRPr="008D6EF7">
        <w:rPr>
          <w:rFonts w:ascii="Calibri" w:eastAsia="Calibri" w:hAnsi="Calibri" w:cs="Arial"/>
          <w:szCs w:val="18"/>
        </w:rPr>
        <w:t xml:space="preserve">b) Submeter o litígio aos tribunais do Estado-Membro em que o exportador de dados está estabelecido. </w:t>
      </w:r>
    </w:p>
    <w:p w:rsidR="009E497B" w:rsidRPr="008D6EF7" w:rsidRDefault="009E497B" w:rsidP="009E497B">
      <w:pPr>
        <w:pStyle w:val="ProductList-Body"/>
        <w:rPr>
          <w:rFonts w:ascii="Calibri" w:eastAsia="Calibri" w:hAnsi="Calibri" w:cs="Arial"/>
          <w:szCs w:val="18"/>
        </w:rPr>
      </w:pPr>
      <w:r w:rsidRPr="008D6EF7">
        <w:rPr>
          <w:rFonts w:ascii="Calibri" w:eastAsia="Calibri" w:hAnsi="Calibri" w:cs="Arial"/>
          <w:szCs w:val="18"/>
        </w:rPr>
        <w:t xml:space="preserve">2. As partes acordam que a opção do titular dos dados não prejudicará os direitos materiais ou processuais do mesmo de obter reparação em conformidade com outras disposições do direito nacional ou internacional. </w:t>
      </w:r>
    </w:p>
    <w:p w:rsidR="00BF75F8" w:rsidRPr="008D6EF7" w:rsidRDefault="00BF75F8" w:rsidP="00BF75F8">
      <w:pPr>
        <w:pStyle w:val="ProductList-Body"/>
      </w:pPr>
    </w:p>
    <w:p w:rsidR="00BF75F8" w:rsidRPr="008D6EF7" w:rsidRDefault="00A95416" w:rsidP="009E497B">
      <w:pPr>
        <w:pStyle w:val="ProductList-Body"/>
        <w:jc w:val="center"/>
        <w:outlineLvl w:val="1"/>
        <w:rPr>
          <w:b/>
        </w:rPr>
      </w:pPr>
      <w:r w:rsidRPr="008D6EF7">
        <w:rPr>
          <w:rFonts w:ascii="Calibri" w:eastAsia="Calibri" w:hAnsi="Calibri" w:cs="Arial"/>
          <w:b/>
          <w:szCs w:val="18"/>
        </w:rPr>
        <w:t xml:space="preserve">Cláusula 8: </w:t>
      </w:r>
      <w:r w:rsidR="009E497B" w:rsidRPr="008D6EF7">
        <w:rPr>
          <w:rFonts w:ascii="Calibri" w:eastAsia="Calibri" w:hAnsi="Calibri" w:cs="Arial"/>
          <w:b/>
          <w:szCs w:val="18"/>
        </w:rPr>
        <w:t xml:space="preserve">Cooperação com as autoridades de controlo </w:t>
      </w:r>
    </w:p>
    <w:p w:rsidR="00BF75F8" w:rsidRPr="008D6EF7" w:rsidRDefault="00BF75F8" w:rsidP="00BF75F8">
      <w:pPr>
        <w:pStyle w:val="ProductList-Body"/>
      </w:pP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 xml:space="preserve">1. O exportador de dados acorda depositar um exemplar do presente contrato junto da autoridade de controlo se esta o solicitar ou se a legislação sobre protecção de dados aplicável assim o exigir. </w:t>
      </w: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 xml:space="preserve">2. As partes acordam que a autoridade de controlo tem o direito de realizar auditorias ao importador de dados ou a qualquer subcontratante ulterior com o mesmo âmbito e nas mesmas condições das auditorias efectuadas ao exportador de dados, em conformidade com a legislação sobre protecção de dados aplicável. </w:t>
      </w: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 o 2. Nesse caso, o exportador de dados tem o direito de adoptar as medidas previstas na cláusula 5, alínea b). </w:t>
      </w:r>
    </w:p>
    <w:p w:rsidR="00BF75F8" w:rsidRPr="008D6EF7" w:rsidRDefault="00BF75F8" w:rsidP="00BF75F8">
      <w:pPr>
        <w:pStyle w:val="ProductList-Body"/>
      </w:pPr>
    </w:p>
    <w:p w:rsidR="00BF75F8" w:rsidRPr="008D6EF7" w:rsidRDefault="00A95416" w:rsidP="009E497B">
      <w:pPr>
        <w:pStyle w:val="ProductList-Body"/>
        <w:jc w:val="center"/>
        <w:outlineLvl w:val="1"/>
        <w:rPr>
          <w:b/>
        </w:rPr>
      </w:pPr>
      <w:r w:rsidRPr="008D6EF7">
        <w:rPr>
          <w:rFonts w:ascii="Calibri" w:eastAsia="Calibri" w:hAnsi="Calibri" w:cs="Arial"/>
          <w:b/>
          <w:szCs w:val="18"/>
        </w:rPr>
        <w:t xml:space="preserve">Cláusula 9: </w:t>
      </w:r>
      <w:r w:rsidR="009E497B" w:rsidRPr="008D6EF7">
        <w:rPr>
          <w:rFonts w:ascii="Calibri" w:eastAsia="Calibri" w:hAnsi="Calibri" w:cs="Arial"/>
          <w:b/>
          <w:szCs w:val="18"/>
        </w:rPr>
        <w:t xml:space="preserve">Direito aplicável </w:t>
      </w:r>
    </w:p>
    <w:p w:rsidR="00BF75F8" w:rsidRPr="008D6EF7" w:rsidRDefault="00BF75F8" w:rsidP="00BF75F8">
      <w:pPr>
        <w:pStyle w:val="ProductList-Body"/>
      </w:pPr>
    </w:p>
    <w:p w:rsidR="009E497B" w:rsidRPr="008D6EF7" w:rsidRDefault="009E497B" w:rsidP="009E497B">
      <w:pPr>
        <w:pStyle w:val="ProductList-Body"/>
        <w:rPr>
          <w:rFonts w:ascii="Calibri" w:eastAsia="Calibri" w:hAnsi="Calibri" w:cs="Arial"/>
          <w:szCs w:val="18"/>
        </w:rPr>
      </w:pPr>
      <w:r w:rsidRPr="008D6EF7">
        <w:rPr>
          <w:rFonts w:ascii="Calibri" w:eastAsia="Calibri" w:hAnsi="Calibri" w:cs="Arial"/>
          <w:szCs w:val="18"/>
        </w:rPr>
        <w:t>As cláusulas são regidas pelo direito do Estado-Membro onde o exportador de dados está estabelecido.</w:t>
      </w:r>
    </w:p>
    <w:p w:rsidR="00BF75F8" w:rsidRPr="008D6EF7" w:rsidRDefault="00BF75F8" w:rsidP="00BF75F8">
      <w:pPr>
        <w:pStyle w:val="ProductList-Body"/>
      </w:pPr>
    </w:p>
    <w:p w:rsidR="00BF75F8" w:rsidRPr="008D6EF7" w:rsidRDefault="00BF75F8" w:rsidP="00BF75F8">
      <w:pPr>
        <w:pStyle w:val="ProductList-Body"/>
      </w:pPr>
    </w:p>
    <w:p w:rsidR="00BF75F8" w:rsidRPr="008D6EF7" w:rsidRDefault="00A95416" w:rsidP="00BF75F8">
      <w:pPr>
        <w:pStyle w:val="ProductList-Body"/>
        <w:keepNext/>
        <w:jc w:val="center"/>
        <w:outlineLvl w:val="1"/>
        <w:rPr>
          <w:b/>
        </w:rPr>
      </w:pPr>
      <w:r w:rsidRPr="008D6EF7">
        <w:rPr>
          <w:rFonts w:ascii="Calibri" w:eastAsia="Calibri" w:hAnsi="Calibri" w:cs="Arial"/>
          <w:b/>
          <w:szCs w:val="18"/>
        </w:rPr>
        <w:t>Cláusula 10: Alteração do contrato</w:t>
      </w:r>
    </w:p>
    <w:p w:rsidR="00BF75F8" w:rsidRPr="008D6EF7" w:rsidRDefault="00BF75F8" w:rsidP="00BF75F8">
      <w:pPr>
        <w:pStyle w:val="ProductList-Body"/>
        <w:keepNext/>
      </w:pPr>
    </w:p>
    <w:p w:rsidR="009E497B" w:rsidRPr="008D6EF7" w:rsidRDefault="009E497B" w:rsidP="009E497B">
      <w:pPr>
        <w:pStyle w:val="ProductList-Body"/>
        <w:rPr>
          <w:rFonts w:ascii="Calibri" w:eastAsia="Calibri" w:hAnsi="Calibri" w:cs="Arial"/>
          <w:szCs w:val="18"/>
        </w:rPr>
      </w:pPr>
      <w:r w:rsidRPr="008D6EF7">
        <w:rPr>
          <w:rFonts w:ascii="Calibri" w:eastAsia="Calibri" w:hAnsi="Calibri" w:cs="Arial"/>
          <w:szCs w:val="18"/>
        </w:rPr>
        <w:t xml:space="preserve">As partes comprometem-se a não alterar as cláusulas. Tal não impede que as partes aditem cláusulas de carácter comercial sempre que necessário, desde que as mesmas não contrariem a cláusula. </w:t>
      </w:r>
    </w:p>
    <w:p w:rsidR="00BF75F8" w:rsidRPr="008D6EF7" w:rsidRDefault="00BF75F8" w:rsidP="00BF75F8">
      <w:pPr>
        <w:pStyle w:val="ProductList-Body"/>
        <w:rPr>
          <w:b/>
        </w:rPr>
      </w:pPr>
    </w:p>
    <w:p w:rsidR="00BF75F8" w:rsidRPr="008D6EF7" w:rsidRDefault="00A95416" w:rsidP="009E497B">
      <w:pPr>
        <w:pStyle w:val="ProductList-Body"/>
        <w:jc w:val="center"/>
        <w:outlineLvl w:val="1"/>
      </w:pPr>
      <w:r w:rsidRPr="008D6EF7">
        <w:rPr>
          <w:rFonts w:ascii="Calibri" w:eastAsia="Calibri" w:hAnsi="Calibri" w:cs="Arial"/>
          <w:b/>
          <w:szCs w:val="18"/>
        </w:rPr>
        <w:t xml:space="preserve">Cláusula 11: </w:t>
      </w:r>
      <w:r w:rsidR="009E497B" w:rsidRPr="008D6EF7">
        <w:rPr>
          <w:rFonts w:ascii="Calibri" w:eastAsia="Calibri" w:hAnsi="Calibri" w:cs="Arial"/>
          <w:b/>
          <w:szCs w:val="18"/>
        </w:rPr>
        <w:t xml:space="preserve">Subcontratação ulterior </w:t>
      </w: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 xml:space="preserve">1. O importador de dados não subcontrata nenhuma das suas actividades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protecção de dados que lhe incumbem nos termos do referido acordo escrito, o importador de dados continua a ser plenamente responsável perante o exportador de dados pelo cumprimento destas obrigações ao abrigo do referido acordo. </w:t>
      </w: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 xml:space="preserve">2. O contrato escrito prévio entre o importador de dados e o subcontratante ulterior deve prever igualmente uma cláusula do terceiro beneficiário, tal como previsto na cláusula 3, para os casos em que o titular dos dados não puder intentar a acção de reparação referida na cláusula 6, n. o 1, contra o exportador ou o importador de dados por estes terem desaparecido de facto ou terem sido extintos legalmente ou por se terem tornado insolventes e nenhuma entidade sucessora ter assumido a totalidade das obrigações do exportador ou do importador de dados, mediante contrato ou por força da lei. Esta responsabilidade civil do subcontratante ulterior é limitada às suas próprias actividades de tratamento de dados ao abrigo das presentes cláusulas. </w:t>
      </w: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3. As disposições relativas aos aspectos ligados à protecção de dados no que se refere à subcontratação ulterior referida no n. o 1 são regidas pelo direito do Estado-Membro onde o exportador de dados está estabelecido.</w:t>
      </w: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 xml:space="preserve">4. O exportador de dados mantém uma lista dos acordos de subcontratação ulterior celebrados ao abrigo das cláusulas e notificados pelo importador de dados em conformidade com a cláusula 5, alínea j), que será actualizada pelo menos uma vez por ano. Esta lista é colocada à disposição da autoridade de controlo da protecção de dados do exportador de dados. </w:t>
      </w:r>
    </w:p>
    <w:p w:rsidR="00BF75F8" w:rsidRPr="008D6EF7" w:rsidRDefault="00BF75F8" w:rsidP="00BF75F8">
      <w:pPr>
        <w:pStyle w:val="ProductList-Body"/>
      </w:pPr>
    </w:p>
    <w:p w:rsidR="00BF75F8" w:rsidRPr="008D6EF7" w:rsidRDefault="00A95416" w:rsidP="00BF75F8">
      <w:pPr>
        <w:pStyle w:val="ProductList-Body"/>
        <w:jc w:val="center"/>
        <w:outlineLvl w:val="1"/>
        <w:rPr>
          <w:b/>
        </w:rPr>
      </w:pPr>
      <w:r w:rsidRPr="008D6EF7">
        <w:rPr>
          <w:rFonts w:ascii="Calibri" w:eastAsia="Calibri" w:hAnsi="Calibri" w:cs="Arial"/>
          <w:b/>
          <w:szCs w:val="18"/>
        </w:rPr>
        <w:t>Cláusula 12: Obrigação depois de terminados os serviços de tratamento de dados pessoais</w:t>
      </w:r>
    </w:p>
    <w:p w:rsidR="00BF75F8" w:rsidRPr="008D6EF7" w:rsidRDefault="00BF75F8" w:rsidP="00BF75F8">
      <w:pPr>
        <w:pStyle w:val="ProductList-Body"/>
      </w:pP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excepto se a legislação imposta ao importador de dados o impedir de devolver ou destruir a totalidade ou parte dos dados pessoais transferidos. Nesse caso, o importador de dados garante a confidencialidade dos dados pessoais transferidos e não volta a tratar activamente os dados pessoais transferidos. </w:t>
      </w:r>
    </w:p>
    <w:p w:rsidR="009E497B" w:rsidRPr="008D6EF7" w:rsidRDefault="009E497B" w:rsidP="009E497B">
      <w:pPr>
        <w:pStyle w:val="ProductList-Body"/>
        <w:spacing w:after="120"/>
        <w:rPr>
          <w:rFonts w:ascii="Calibri" w:eastAsia="Calibri" w:hAnsi="Calibri" w:cs="Arial"/>
          <w:szCs w:val="18"/>
        </w:rPr>
      </w:pPr>
      <w:r w:rsidRPr="008D6EF7">
        <w:rPr>
          <w:rFonts w:ascii="Calibri" w:eastAsia="Calibri" w:hAnsi="Calibri" w:cs="Arial"/>
          <w:szCs w:val="18"/>
        </w:rPr>
        <w:t>2. O importador de dados e o seu subcontratante garantem que, a pedido do exportador de dados e/ou da autoridade de controlo, submeterão os seus meios de tratamento de dados a uma auditoria das medidas referidas no n. o 1.</w:t>
      </w:r>
    </w:p>
    <w:p w:rsidR="00BF75F8" w:rsidRPr="008D6EF7" w:rsidRDefault="00BF75F8" w:rsidP="00BF75F8">
      <w:pPr>
        <w:pStyle w:val="ProductList-Body"/>
      </w:pPr>
    </w:p>
    <w:p w:rsidR="00BF75F8" w:rsidRPr="008D6EF7" w:rsidRDefault="00A95416" w:rsidP="00BF75F8">
      <w:pPr>
        <w:pStyle w:val="ProductList-Body"/>
        <w:outlineLvl w:val="1"/>
        <w:rPr>
          <w:b/>
        </w:rPr>
      </w:pPr>
      <w:bookmarkStart w:id="26" w:name="Appendix1toAttachment3"/>
      <w:r w:rsidRPr="008D6EF7">
        <w:rPr>
          <w:rFonts w:ascii="Calibri" w:eastAsia="Calibri" w:hAnsi="Calibri" w:cs="Arial"/>
          <w:b/>
          <w:szCs w:val="18"/>
        </w:rPr>
        <w:t>Apêndice 1 às Cláusulas Contratuais-Tipo</w:t>
      </w:r>
      <w:bookmarkEnd w:id="26"/>
      <w:r w:rsidRPr="008D6EF7">
        <w:rPr>
          <w:rFonts w:ascii="Calibri" w:eastAsia="Calibri" w:hAnsi="Calibri" w:cs="Arial"/>
          <w:b/>
          <w:szCs w:val="18"/>
        </w:rPr>
        <w:t xml:space="preserve"> para os Serviços de Suporte e Consultoria</w:t>
      </w:r>
    </w:p>
    <w:p w:rsidR="00BF75F8" w:rsidRPr="008D6EF7" w:rsidRDefault="00BF75F8" w:rsidP="00BF75F8">
      <w:pPr>
        <w:pStyle w:val="ProductList-Body"/>
      </w:pPr>
    </w:p>
    <w:p w:rsidR="00BF75F8" w:rsidRPr="008D6EF7" w:rsidRDefault="00A95416" w:rsidP="00BF75F8">
      <w:pPr>
        <w:pStyle w:val="ProductList-Body"/>
        <w:spacing w:after="120"/>
        <w:rPr>
          <w:rFonts w:cstheme="minorHAnsi"/>
          <w:spacing w:val="-1"/>
        </w:rPr>
      </w:pPr>
      <w:r w:rsidRPr="008D6EF7">
        <w:rPr>
          <w:rFonts w:ascii="Calibri" w:eastAsia="Calibri" w:hAnsi="Calibri" w:cs="Arial"/>
          <w:b/>
          <w:szCs w:val="18"/>
        </w:rPr>
        <w:t>Exportador de dados</w:t>
      </w:r>
      <w:r w:rsidRPr="008D6EF7">
        <w:rPr>
          <w:rFonts w:ascii="Calibri" w:eastAsia="Calibri" w:hAnsi="Calibri" w:cs="Arial"/>
          <w:szCs w:val="18"/>
        </w:rPr>
        <w:t xml:space="preserve">: O Cliente é o exportador de dados. </w:t>
      </w:r>
      <w:r w:rsidRPr="008D6EF7">
        <w:rPr>
          <w:rFonts w:ascii="Calibri" w:eastAsia="Calibri" w:hAnsi="Calibri" w:cs="Calibri"/>
          <w:szCs w:val="18"/>
        </w:rPr>
        <w:t>O exportador de dados pretende serviços de suporte e consultoria de TI profissionais, tal como descrito no Pedido de Serviços Empresariais aplicável.</w:t>
      </w:r>
      <w:r w:rsidR="00156B18" w:rsidRPr="008D6EF7">
        <w:rPr>
          <w:rFonts w:ascii="Calibri" w:eastAsia="Calibri" w:hAnsi="Calibri" w:cs="Calibri"/>
          <w:szCs w:val="18"/>
        </w:rPr>
        <w:t xml:space="preserve"> </w:t>
      </w:r>
    </w:p>
    <w:p w:rsidR="00BF75F8" w:rsidRPr="008D6EF7" w:rsidRDefault="00A95416" w:rsidP="00BF75F8">
      <w:pPr>
        <w:pStyle w:val="ProductList-Body"/>
        <w:spacing w:after="120"/>
      </w:pPr>
      <w:r w:rsidRPr="008D6EF7">
        <w:rPr>
          <w:rFonts w:ascii="Calibri" w:eastAsia="Calibri" w:hAnsi="Calibri" w:cs="Arial"/>
          <w:b/>
          <w:szCs w:val="18"/>
        </w:rPr>
        <w:t>Importador de dados:</w:t>
      </w:r>
      <w:r w:rsidRPr="008D6EF7">
        <w:rPr>
          <w:rFonts w:ascii="Calibri" w:eastAsia="Calibri" w:hAnsi="Calibri" w:cs="Arial"/>
          <w:szCs w:val="18"/>
        </w:rPr>
        <w:t xml:space="preserve"> O importador de dados é a Microsoft Corporation, um produtor global de software e serviços. </w:t>
      </w:r>
    </w:p>
    <w:p w:rsidR="00BF75F8" w:rsidRPr="008D6EF7" w:rsidRDefault="00A95416" w:rsidP="00BF75F8">
      <w:pPr>
        <w:pStyle w:val="ProductList-Body"/>
        <w:spacing w:after="120"/>
      </w:pPr>
      <w:r w:rsidRPr="008D6EF7">
        <w:rPr>
          <w:rFonts w:ascii="Calibri" w:eastAsia="Calibri" w:hAnsi="Calibri" w:cs="Arial"/>
          <w:b/>
          <w:szCs w:val="18"/>
        </w:rPr>
        <w:t>Titulares dos dados</w:t>
      </w:r>
      <w:r w:rsidRPr="008D6EF7">
        <w:rPr>
          <w:rFonts w:ascii="Calibri" w:eastAsia="Calibri" w:hAnsi="Calibri" w:cs="Arial"/>
          <w:szCs w:val="18"/>
        </w:rPr>
        <w:t xml:space="preserve">: Os titulares dos dados incluem os representantes e utilizadores finais do exportador de dados, incluindo os empregados, contratantes, colaboradores e clientes do exportador de dados. Os titulares dos dados também podem incluir indivíduos que tentem comunicar ou transferir informações pessoais para utilizadores dos serviços fornecidos pelo importador de dados. </w:t>
      </w:r>
    </w:p>
    <w:p w:rsidR="00BF75F8" w:rsidRPr="008D6EF7" w:rsidRDefault="00A95416" w:rsidP="00BF75F8">
      <w:pPr>
        <w:pStyle w:val="ProductList-Body"/>
        <w:spacing w:after="120"/>
      </w:pPr>
      <w:r w:rsidRPr="008D6EF7">
        <w:rPr>
          <w:rFonts w:ascii="Calibri" w:eastAsia="Calibri" w:hAnsi="Calibri" w:cs="Arial"/>
          <w:b/>
          <w:szCs w:val="18"/>
        </w:rPr>
        <w:t>Categorias de dados</w:t>
      </w:r>
      <w:r w:rsidRPr="008D6EF7">
        <w:rPr>
          <w:rFonts w:ascii="Calibri" w:eastAsia="Calibri" w:hAnsi="Calibri" w:cs="Arial"/>
          <w:szCs w:val="18"/>
        </w:rPr>
        <w:t>: Os dados pessoais transferidos incluem documentos e outros dados em formato eletrónico, conforme necessário para prestar os Serviços Profissionais.</w:t>
      </w:r>
    </w:p>
    <w:p w:rsidR="00BF75F8" w:rsidRPr="008D6EF7" w:rsidRDefault="00A95416" w:rsidP="00BF75F8">
      <w:pPr>
        <w:pStyle w:val="ProductList-Body"/>
      </w:pPr>
      <w:r w:rsidRPr="008D6EF7">
        <w:rPr>
          <w:rFonts w:ascii="Calibri" w:eastAsia="Calibri" w:hAnsi="Calibri" w:cs="Arial"/>
          <w:b/>
          <w:szCs w:val="18"/>
        </w:rPr>
        <w:t>Atividades de tratamento</w:t>
      </w:r>
      <w:r w:rsidRPr="008D6EF7">
        <w:rPr>
          <w:rFonts w:ascii="Calibri" w:eastAsia="Calibri" w:hAnsi="Calibri" w:cs="Arial"/>
          <w:szCs w:val="18"/>
        </w:rPr>
        <w:t xml:space="preserve">: Os dados pessoais transferidos estarão sujeitos às seguintes atividades de tratamento base: </w:t>
      </w:r>
    </w:p>
    <w:p w:rsidR="00BF75F8" w:rsidRPr="008D6EF7" w:rsidRDefault="00A95416" w:rsidP="00BF75F8">
      <w:pPr>
        <w:pStyle w:val="ProductList-Body"/>
        <w:spacing w:after="60"/>
        <w:ind w:left="547"/>
        <w:rPr>
          <w:b/>
        </w:rPr>
      </w:pPr>
      <w:r w:rsidRPr="008D6EF7">
        <w:rPr>
          <w:rFonts w:ascii="Calibri" w:eastAsia="Calibri" w:hAnsi="Calibri" w:cs="Arial"/>
          <w:b/>
          <w:szCs w:val="18"/>
        </w:rPr>
        <w:t>a.</w:t>
      </w:r>
      <w:r w:rsidRPr="008D6EF7">
        <w:rPr>
          <w:rFonts w:ascii="Calibri" w:eastAsia="Calibri" w:hAnsi="Calibri" w:cs="Arial"/>
          <w:b/>
          <w:szCs w:val="18"/>
        </w:rPr>
        <w:tab/>
        <w:t xml:space="preserve">Duração e Objeto do Tratamento de Dados. </w:t>
      </w:r>
      <w:r w:rsidRPr="008D6EF7">
        <w:rPr>
          <w:rFonts w:ascii="Calibri" w:eastAsia="Calibri" w:hAnsi="Calibri" w:cs="Arial"/>
          <w:szCs w:val="18"/>
        </w:rPr>
        <w:t>A duração do tratamento de dados deverá ser o período designado ao abrigo do contrato de licenciamento em volume aplicável entre o exportador de dados e a entidade da Microsoft onde estas Cláusulas Contratuais-Tipo são anexadas (</w:t>
      </w:r>
      <w:r w:rsidR="00156B18" w:rsidRPr="008D6EF7">
        <w:rPr>
          <w:rFonts w:ascii="Calibri" w:eastAsia="Calibri" w:hAnsi="Calibri" w:cs="Arial"/>
          <w:szCs w:val="18"/>
        </w:rPr>
        <w:t>“</w:t>
      </w:r>
      <w:r w:rsidRPr="008D6EF7">
        <w:rPr>
          <w:rFonts w:ascii="Calibri" w:eastAsia="Calibri" w:hAnsi="Calibri" w:cs="Arial"/>
          <w:szCs w:val="18"/>
        </w:rPr>
        <w:t>Microsoft</w:t>
      </w:r>
      <w:r w:rsidR="00156B18" w:rsidRPr="008D6EF7">
        <w:rPr>
          <w:rFonts w:ascii="Calibri" w:eastAsia="Calibri" w:hAnsi="Calibri" w:cs="Arial"/>
          <w:szCs w:val="18"/>
        </w:rPr>
        <w:t>”</w:t>
      </w:r>
      <w:r w:rsidRPr="008D6EF7">
        <w:rPr>
          <w:rFonts w:ascii="Calibri" w:eastAsia="Calibri" w:hAnsi="Calibri" w:cs="Arial"/>
          <w:szCs w:val="18"/>
        </w:rPr>
        <w:t>). O objetivo do tratamento de dados é o desempenho dos Serviços Profissionais.</w:t>
      </w:r>
    </w:p>
    <w:p w:rsidR="00BF75F8" w:rsidRPr="008D6EF7" w:rsidRDefault="00A95416" w:rsidP="00BF75F8">
      <w:pPr>
        <w:pStyle w:val="ProductList-Body"/>
        <w:spacing w:after="60"/>
        <w:ind w:left="547"/>
        <w:rPr>
          <w:b/>
        </w:rPr>
      </w:pPr>
      <w:r w:rsidRPr="008D6EF7">
        <w:rPr>
          <w:rFonts w:ascii="Calibri" w:eastAsia="Calibri" w:hAnsi="Calibri" w:cs="Arial"/>
          <w:b/>
          <w:szCs w:val="18"/>
        </w:rPr>
        <w:t>b.</w:t>
      </w:r>
      <w:r w:rsidRPr="008D6EF7">
        <w:rPr>
          <w:rFonts w:ascii="Calibri" w:eastAsia="Calibri" w:hAnsi="Calibri" w:cs="Arial"/>
          <w:b/>
          <w:szCs w:val="18"/>
        </w:rPr>
        <w:tab/>
        <w:t xml:space="preserve">Âmbito e Objetivo do Tratamento de Dados. </w:t>
      </w:r>
      <w:r w:rsidRPr="008D6EF7">
        <w:rPr>
          <w:rFonts w:ascii="Calibri" w:eastAsia="Calibri" w:hAnsi="Calibri" w:cs="Arial"/>
          <w:szCs w:val="18"/>
        </w:rPr>
        <w:t>O âmbito e objetivo do tratamento de dados pessoais é descrito na Adenda e no Contrato.</w:t>
      </w:r>
    </w:p>
    <w:p w:rsidR="00BF75F8" w:rsidRPr="008D6EF7" w:rsidRDefault="00A95416" w:rsidP="00BF75F8">
      <w:pPr>
        <w:pStyle w:val="ProductList-Body"/>
        <w:spacing w:after="60"/>
        <w:ind w:left="547"/>
      </w:pPr>
      <w:r w:rsidRPr="008D6EF7">
        <w:rPr>
          <w:rFonts w:ascii="Calibri" w:eastAsia="Calibri" w:hAnsi="Calibri" w:cs="Arial"/>
          <w:b/>
          <w:szCs w:val="18"/>
        </w:rPr>
        <w:t>c.</w:t>
      </w:r>
      <w:r w:rsidRPr="008D6EF7">
        <w:rPr>
          <w:rFonts w:ascii="Calibri" w:eastAsia="Calibri" w:hAnsi="Calibri" w:cs="Arial"/>
          <w:b/>
          <w:szCs w:val="18"/>
        </w:rPr>
        <w:tab/>
        <w:t xml:space="preserve">Acesso aos Dados de Suporte e Consultoria. </w:t>
      </w:r>
      <w:r w:rsidRPr="008D6EF7">
        <w:rPr>
          <w:rFonts w:ascii="Calibri" w:eastAsia="Calibri" w:hAnsi="Calibri" w:cs="Arial"/>
          <w:szCs w:val="18"/>
        </w:rPr>
        <w:t xml:space="preserve">Durante o período indicado no Contrato, a Microsoft irá, se assim o entender e conforme necessário ao abrigo da lei aplicável que transpõe o Artigo 12(b) da Diretiva da UE relativa à Proteção de Dados: (1) proporcionar ao Cliente a possibilidade de corrigir, eliminar ou bloquear dados de Suporte e Consultoria; ou (2) efetuar as correções, eliminações ou bloqueios em nome do Cliente. </w:t>
      </w:r>
    </w:p>
    <w:p w:rsidR="00BF75F8" w:rsidRPr="008D6EF7" w:rsidRDefault="00A95416" w:rsidP="00BF75F8">
      <w:pPr>
        <w:pStyle w:val="ProductList-Body"/>
        <w:spacing w:after="60"/>
        <w:ind w:left="547"/>
      </w:pPr>
      <w:r w:rsidRPr="008D6EF7">
        <w:rPr>
          <w:rFonts w:ascii="Calibri" w:eastAsia="Calibri" w:hAnsi="Calibri" w:cs="Arial"/>
          <w:b/>
          <w:szCs w:val="18"/>
        </w:rPr>
        <w:lastRenderedPageBreak/>
        <w:t>d.</w:t>
      </w:r>
      <w:r w:rsidRPr="008D6EF7">
        <w:rPr>
          <w:rFonts w:ascii="Calibri" w:eastAsia="Calibri" w:hAnsi="Calibri" w:cs="Arial"/>
          <w:b/>
          <w:szCs w:val="18"/>
        </w:rPr>
        <w:tab/>
        <w:t xml:space="preserve">Instruções do Exportador de Dados. </w:t>
      </w:r>
      <w:r w:rsidRPr="008D6EF7">
        <w:rPr>
          <w:rFonts w:ascii="Calibri" w:eastAsia="Calibri" w:hAnsi="Calibri" w:cs="Arial"/>
          <w:szCs w:val="18"/>
        </w:rPr>
        <w:t xml:space="preserve">Para os Serviços Profissionais, o importador de dados só agirá de acordo com as instruções do exportador de dados concedidas pela Microsoft. </w:t>
      </w:r>
    </w:p>
    <w:p w:rsidR="00BF75F8" w:rsidRPr="008D6EF7" w:rsidRDefault="00A95416" w:rsidP="00BF75F8">
      <w:pPr>
        <w:pStyle w:val="ProductList-Body"/>
        <w:spacing w:after="60"/>
        <w:ind w:left="547"/>
      </w:pPr>
      <w:r w:rsidRPr="008D6EF7">
        <w:rPr>
          <w:rFonts w:ascii="Calibri" w:eastAsia="Calibri" w:hAnsi="Calibri" w:cs="Arial"/>
          <w:b/>
          <w:szCs w:val="18"/>
        </w:rPr>
        <w:t>e.</w:t>
      </w:r>
      <w:r w:rsidRPr="008D6EF7">
        <w:rPr>
          <w:rFonts w:ascii="Calibri" w:eastAsia="Calibri" w:hAnsi="Calibri" w:cs="Arial"/>
          <w:b/>
          <w:szCs w:val="18"/>
        </w:rPr>
        <w:tab/>
        <w:t>Eliminação ou Devolução dos Dados de Suporte e Consultoria.</w:t>
      </w:r>
      <w:r w:rsidR="00156B18" w:rsidRPr="008D6EF7">
        <w:rPr>
          <w:rFonts w:ascii="Calibri" w:eastAsia="Calibri" w:hAnsi="Calibri" w:cs="Arial"/>
          <w:szCs w:val="18"/>
        </w:rPr>
        <w:t xml:space="preserve"> </w:t>
      </w:r>
      <w:r w:rsidRPr="008D6EF7">
        <w:rPr>
          <w:rFonts w:ascii="Calibri" w:eastAsia="Calibri" w:hAnsi="Calibri" w:cs="Arial"/>
          <w:szCs w:val="18"/>
        </w:rPr>
        <w:t xml:space="preserve">A Microsoft irá eliminar ou devolver todas as cópias dos Dados de Suporte e Consultoria após terem sido alcançados os fins comerciais para os quais os Dados de Suporte e Consultoria foram recolhidos ou transferidos ou mais cedo se o Cliente tiver enviado um pedido por escrito para esse fim. </w:t>
      </w:r>
    </w:p>
    <w:p w:rsidR="00BF75F8" w:rsidRPr="008D6EF7" w:rsidRDefault="00A95416" w:rsidP="00BF75F8">
      <w:pPr>
        <w:pStyle w:val="ProductList-Body"/>
      </w:pPr>
      <w:r w:rsidRPr="008D6EF7">
        <w:rPr>
          <w:rFonts w:ascii="Calibri" w:eastAsia="Calibri" w:hAnsi="Calibri" w:cs="Arial"/>
          <w:b/>
          <w:szCs w:val="18"/>
        </w:rPr>
        <w:t xml:space="preserve">Subcontratantes Ulteriores: </w:t>
      </w:r>
      <w:r w:rsidRPr="008D6EF7">
        <w:rPr>
          <w:rFonts w:ascii="Calibri" w:eastAsia="Calibri" w:hAnsi="Calibri" w:cs="Arial"/>
          <w:szCs w:val="18"/>
        </w:rPr>
        <w:t>O importador de dados poderá contratar outras empresas para fornecer serviços limitados em nome do importador de dados. Quaisquer subcontratantes poderão obter os Dados de Suporte e Consultoria apenas para fornecer os serviços instruídos pelo importador de dados, e estão proibidos de utilizar os Dados de Suporte e Consultoria para qualquer outra finalidade.</w:t>
      </w:r>
    </w:p>
    <w:p w:rsidR="00BF75F8" w:rsidRPr="008D6EF7" w:rsidRDefault="00BF75F8" w:rsidP="00BF75F8">
      <w:pPr>
        <w:pStyle w:val="ProductList-Body"/>
      </w:pPr>
    </w:p>
    <w:p w:rsidR="00BF75F8" w:rsidRPr="008D6EF7" w:rsidRDefault="00A95416" w:rsidP="00BF75F8">
      <w:pPr>
        <w:pStyle w:val="ProductList-Body"/>
        <w:outlineLvl w:val="1"/>
        <w:rPr>
          <w:b/>
        </w:rPr>
      </w:pPr>
      <w:r w:rsidRPr="008D6EF7">
        <w:rPr>
          <w:rFonts w:ascii="Calibri" w:eastAsia="Calibri" w:hAnsi="Calibri" w:cs="Arial"/>
          <w:b/>
          <w:szCs w:val="18"/>
        </w:rPr>
        <w:t xml:space="preserve">Apêndice 2 às Cláusulas Contratuais-Tipo para os Serviços de Suporte e Consultoria </w:t>
      </w:r>
    </w:p>
    <w:p w:rsidR="00BF75F8" w:rsidRPr="008D6EF7" w:rsidRDefault="00BF75F8" w:rsidP="00BF75F8">
      <w:pPr>
        <w:pStyle w:val="ProductList-Body"/>
      </w:pPr>
    </w:p>
    <w:p w:rsidR="00BF75F8" w:rsidRPr="008D6EF7" w:rsidRDefault="00A95416" w:rsidP="00BF75F8">
      <w:pPr>
        <w:pStyle w:val="ProductList-Body"/>
        <w:spacing w:after="120"/>
      </w:pPr>
      <w:r w:rsidRPr="008D6EF7">
        <w:rPr>
          <w:rFonts w:ascii="Calibri" w:eastAsia="Calibri" w:hAnsi="Calibri" w:cs="Arial"/>
          <w:szCs w:val="18"/>
        </w:rPr>
        <w:t>Descrição das medidas de segurança técnicas e organizativas implementadas pelo importador de dados de acordo com as Cláusulas 4(d) e 5(c):</w:t>
      </w:r>
    </w:p>
    <w:p w:rsidR="00BF75F8" w:rsidRPr="008D6EF7" w:rsidRDefault="00A95416" w:rsidP="00BF75F8">
      <w:pPr>
        <w:pStyle w:val="ProductList-Body"/>
        <w:spacing w:after="120"/>
      </w:pPr>
      <w:r w:rsidRPr="008D6EF7">
        <w:rPr>
          <w:rFonts w:ascii="Calibri" w:eastAsia="Calibri" w:hAnsi="Calibri" w:cs="Arial"/>
          <w:szCs w:val="18"/>
        </w:rPr>
        <w:t xml:space="preserve">1. </w:t>
      </w:r>
      <w:r w:rsidRPr="008D6EF7">
        <w:rPr>
          <w:rFonts w:ascii="Calibri" w:eastAsia="Calibri" w:hAnsi="Calibri" w:cs="Arial"/>
          <w:b/>
          <w:szCs w:val="18"/>
        </w:rPr>
        <w:t>Pessoal</w:t>
      </w:r>
      <w:r w:rsidRPr="008D6EF7">
        <w:rPr>
          <w:rFonts w:ascii="Calibri" w:eastAsia="Calibri" w:hAnsi="Calibri" w:cs="Arial"/>
          <w:szCs w:val="18"/>
        </w:rPr>
        <w:t xml:space="preserve">. O pessoal do importador de dados não tratará os Dados de Suporte e Consultoria sem autorização do Cliente. O pessoal é obrigado a manter a confidencialidade de quaisquer Dados de Suporte e Consultoria e esta obrigação continua mesmo depois do fim do respetivo compromisso. </w:t>
      </w:r>
    </w:p>
    <w:p w:rsidR="00BF75F8" w:rsidRPr="008D6EF7" w:rsidRDefault="00A95416" w:rsidP="00BF75F8">
      <w:pPr>
        <w:pStyle w:val="ProductList-Body"/>
      </w:pPr>
      <w:r w:rsidRPr="008D6EF7">
        <w:rPr>
          <w:rFonts w:ascii="Calibri" w:eastAsia="Calibri" w:hAnsi="Calibri" w:cs="Arial"/>
          <w:szCs w:val="18"/>
        </w:rPr>
        <w:t xml:space="preserve">2. </w:t>
      </w:r>
      <w:r w:rsidRPr="008D6EF7">
        <w:rPr>
          <w:rFonts w:ascii="Calibri" w:eastAsia="Calibri" w:hAnsi="Calibri" w:cs="Arial"/>
          <w:b/>
          <w:szCs w:val="18"/>
        </w:rPr>
        <w:t>Contacto de Privacidade de Dados</w:t>
      </w:r>
      <w:r w:rsidRPr="008D6EF7">
        <w:rPr>
          <w:rFonts w:ascii="Calibri" w:eastAsia="Calibri" w:hAnsi="Calibri" w:cs="Arial"/>
          <w:szCs w:val="18"/>
        </w:rPr>
        <w:t xml:space="preserve">. O gabinete da privacidade de dados do importador de dados pode ser contactado através do seguinte endereço: </w:t>
      </w:r>
    </w:p>
    <w:p w:rsidR="00BF75F8" w:rsidRPr="008D6EF7" w:rsidRDefault="00A95416" w:rsidP="00B0434E">
      <w:pPr>
        <w:pStyle w:val="ProductList-Body"/>
        <w:ind w:left="180"/>
      </w:pPr>
      <w:r w:rsidRPr="008D6EF7">
        <w:rPr>
          <w:rFonts w:ascii="Calibri" w:eastAsia="Calibri" w:hAnsi="Calibri" w:cs="Arial"/>
          <w:szCs w:val="18"/>
        </w:rPr>
        <w:t xml:space="preserve">Microsoft Corporation </w:t>
      </w:r>
    </w:p>
    <w:p w:rsidR="00BF75F8" w:rsidRPr="008D6EF7" w:rsidRDefault="00A95416" w:rsidP="00B0434E">
      <w:pPr>
        <w:pStyle w:val="ProductList-Body"/>
        <w:ind w:left="180"/>
      </w:pPr>
      <w:r w:rsidRPr="008D6EF7">
        <w:rPr>
          <w:rFonts w:ascii="Calibri" w:eastAsia="Calibri" w:hAnsi="Calibri" w:cs="Arial"/>
          <w:szCs w:val="18"/>
        </w:rPr>
        <w:t xml:space="preserve">Attn: Chief Privacy Officer </w:t>
      </w:r>
    </w:p>
    <w:p w:rsidR="00BF75F8" w:rsidRPr="008D6EF7" w:rsidRDefault="00A95416" w:rsidP="00B0434E">
      <w:pPr>
        <w:pStyle w:val="ProductList-Body"/>
        <w:ind w:left="180"/>
      </w:pPr>
      <w:r w:rsidRPr="008D6EF7">
        <w:rPr>
          <w:rFonts w:ascii="Calibri" w:eastAsia="Calibri" w:hAnsi="Calibri" w:cs="Arial"/>
          <w:szCs w:val="18"/>
        </w:rPr>
        <w:t xml:space="preserve">1 Microsoft Way </w:t>
      </w:r>
    </w:p>
    <w:p w:rsidR="00BF75F8" w:rsidRPr="008D6EF7" w:rsidRDefault="00A95416" w:rsidP="00B0434E">
      <w:pPr>
        <w:pStyle w:val="ProductList-Body"/>
        <w:spacing w:after="120"/>
        <w:ind w:left="180"/>
      </w:pPr>
      <w:r w:rsidRPr="008D6EF7">
        <w:rPr>
          <w:rFonts w:ascii="Calibri" w:eastAsia="Calibri" w:hAnsi="Calibri" w:cs="Arial"/>
          <w:szCs w:val="18"/>
        </w:rPr>
        <w:t xml:space="preserve">Redmond, WA 98052 EUA </w:t>
      </w:r>
    </w:p>
    <w:p w:rsidR="00BF75F8" w:rsidRPr="008D6EF7" w:rsidRDefault="00A95416" w:rsidP="00BF75F8">
      <w:pPr>
        <w:pStyle w:val="ProductList-Body"/>
        <w:spacing w:after="120"/>
      </w:pPr>
      <w:r w:rsidRPr="008D6EF7">
        <w:rPr>
          <w:rFonts w:ascii="Calibri" w:eastAsia="Calibri" w:hAnsi="Calibri" w:cs="Arial"/>
          <w:szCs w:val="18"/>
        </w:rPr>
        <w:t xml:space="preserve">3. </w:t>
      </w:r>
      <w:r w:rsidRPr="008D6EF7">
        <w:rPr>
          <w:rFonts w:ascii="Calibri" w:eastAsia="Calibri" w:hAnsi="Calibri" w:cs="Arial"/>
          <w:b/>
          <w:szCs w:val="18"/>
        </w:rPr>
        <w:t>Medidas Técnicas e Organizativas</w:t>
      </w:r>
      <w:r w:rsidRPr="008D6EF7">
        <w:rPr>
          <w:rFonts w:ascii="Calibri" w:eastAsia="Calibri" w:hAnsi="Calibri" w:cs="Arial"/>
          <w:szCs w:val="18"/>
        </w:rPr>
        <w:t>. O importador de dados procede à implementação e manutenção das medidas técnicas e organizativas, dos controlos internos e das rotinas de segurança de informações corretos que se destinam a proteger os Dados de Suporte e Consultoria, conforme definido na Adenda à Proteção de Dados dos Serviços Profissionais da Microsoft, no que diz respeito à perda, destruição ou alteração acidental; divulgação ou acesso não autorizado ou destruição ilícita da seguinte forma: As medidas técnicas e organizativas, controlos internos e rotinas de segurança de informações estipulados na Prova 1 são aqui incorporados neste Apêndice 2 por esta referência e são vinculativos ao importador de dados pois foram definidos na íntegra neste Apêndice 2.</w:t>
      </w:r>
    </w:p>
    <w:p w:rsidR="00BF75F8" w:rsidRPr="008D6EF7" w:rsidRDefault="00A95416" w:rsidP="00BF75F8">
      <w:pPr>
        <w:pStyle w:val="ProductList-Body"/>
      </w:pPr>
      <w:r w:rsidRPr="008D6EF7">
        <w:rPr>
          <w:rFonts w:ascii="Calibri" w:eastAsia="Calibri" w:hAnsi="Calibri" w:cs="Arial"/>
          <w:szCs w:val="18"/>
        </w:rPr>
        <w:t>A assinatura da Microsoft Corporation aparece na página seguinte.</w:t>
      </w:r>
    </w:p>
    <w:p w:rsidR="00BF75F8" w:rsidRPr="008D6EF7" w:rsidRDefault="00A95416" w:rsidP="00BF75F8">
      <w:pPr>
        <w:pStyle w:val="ProductList-Body"/>
      </w:pPr>
      <w:r w:rsidRPr="008D6EF7">
        <w:br w:type="page"/>
      </w:r>
    </w:p>
    <w:p w:rsidR="00BF75F8" w:rsidRPr="008D6EF7" w:rsidRDefault="00BF75F8" w:rsidP="00BF75F8">
      <w:pPr>
        <w:pStyle w:val="ProductList-Body"/>
      </w:pPr>
    </w:p>
    <w:p w:rsidR="00BF75F8" w:rsidRPr="008D6EF7" w:rsidRDefault="00A95416" w:rsidP="00BF75F8">
      <w:pPr>
        <w:pStyle w:val="ProductList-Body"/>
        <w:outlineLvl w:val="1"/>
        <w:rPr>
          <w:b/>
        </w:rPr>
      </w:pPr>
      <w:r w:rsidRPr="008D6EF7">
        <w:rPr>
          <w:rFonts w:ascii="Calibri" w:eastAsia="Calibri" w:hAnsi="Calibri" w:cs="Arial"/>
          <w:b/>
          <w:szCs w:val="18"/>
        </w:rPr>
        <w:t>Assinar as Cláusulas Contratuais-Tipo para Serviços Profissionais, Apêndice 1 e Apêndice 2 em nome do importador de dados:</w:t>
      </w:r>
    </w:p>
    <w:p w:rsidR="00BF75F8" w:rsidRPr="008D6EF7" w:rsidRDefault="00BF75F8" w:rsidP="00BF75F8">
      <w:pPr>
        <w:pStyle w:val="ProductList-Body"/>
      </w:pPr>
    </w:p>
    <w:p w:rsidR="00BF75F8" w:rsidRPr="008D6EF7" w:rsidRDefault="00A95416" w:rsidP="00BF75F8">
      <w:pPr>
        <w:keepNext/>
        <w:tabs>
          <w:tab w:val="left" w:pos="1896"/>
        </w:tabs>
        <w:spacing w:before="360"/>
      </w:pPr>
      <w:r w:rsidRPr="008D6EF7">
        <w:rPr>
          <w:rFonts w:ascii="Calibri" w:eastAsia="Calibri" w:hAnsi="Calibri" w:cs="Arial"/>
        </w:rPr>
        <w:t>Assinatura:</w:t>
      </w:r>
      <w:r w:rsidR="00156B18" w:rsidRPr="008D6EF7">
        <w:rPr>
          <w:rFonts w:ascii="Calibri" w:eastAsia="Calibri" w:hAnsi="Calibri" w:cs="Arial"/>
        </w:rPr>
        <w:t xml:space="preserve"> </w:t>
      </w:r>
    </w:p>
    <w:p w:rsidR="00BF75F8" w:rsidRPr="008D6EF7" w:rsidRDefault="00A95416" w:rsidP="00BF75F8">
      <w:pPr>
        <w:keepNext/>
        <w:tabs>
          <w:tab w:val="right" w:pos="9000"/>
        </w:tabs>
        <w:spacing w:before="360"/>
        <w:rPr>
          <w:rFonts w:cstheme="minorHAnsi"/>
          <w:b/>
          <w:spacing w:val="-2"/>
          <w:sz w:val="28"/>
        </w:rPr>
      </w:pPr>
      <w:r w:rsidRPr="008D6EF7">
        <w:rPr>
          <w:noProof/>
          <w:lang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952644" name=""/>
                    <pic:cNvPicPr/>
                  </pic:nvPicPr>
                  <pic:blipFill>
                    <a:blip r:embed="rId15" cstate="print"/>
                    <a:stretch>
                      <a:fillRect/>
                    </a:stretch>
                  </pic:blipFill>
                  <pic:spPr>
                    <a:xfrm>
                      <a:off x="0" y="0"/>
                      <a:ext cx="1868885" cy="690050"/>
                    </a:xfrm>
                    <a:prstGeom prst="rect">
                      <a:avLst/>
                    </a:prstGeom>
                  </pic:spPr>
                </pic:pic>
              </a:graphicData>
            </a:graphic>
          </wp:inline>
        </w:drawing>
      </w:r>
    </w:p>
    <w:p w:rsidR="00BF75F8" w:rsidRPr="008D6EF7" w:rsidRDefault="00A95416" w:rsidP="00BF75F8">
      <w:pPr>
        <w:keepNext/>
        <w:spacing w:after="120"/>
        <w:rPr>
          <w:rFonts w:cstheme="minorHAnsi"/>
          <w:b/>
        </w:rPr>
      </w:pPr>
      <w:r w:rsidRPr="008D6EF7">
        <w:rPr>
          <w:rFonts w:ascii="Calibri" w:eastAsia="Calibri" w:hAnsi="Calibri" w:cs="Calibri"/>
          <w:b/>
          <w:spacing w:val="-2"/>
        </w:rPr>
        <w:t>Anand Eswaran, Vice-presidente Corporativo</w:t>
      </w:r>
    </w:p>
    <w:p w:rsidR="00BF75F8" w:rsidRPr="008D6EF7" w:rsidRDefault="00A95416" w:rsidP="00BF75F8">
      <w:pPr>
        <w:pStyle w:val="ProductList-Body"/>
      </w:pPr>
      <w:r w:rsidRPr="008D6EF7">
        <w:rPr>
          <w:rFonts w:ascii="Calibri" w:eastAsia="Calibri" w:hAnsi="Calibri" w:cs="Arial"/>
          <w:szCs w:val="18"/>
        </w:rPr>
        <w:t>Microsoft Corporation</w:t>
      </w:r>
    </w:p>
    <w:p w:rsidR="00BF75F8" w:rsidRPr="008D6EF7" w:rsidRDefault="00A95416" w:rsidP="00BF75F8">
      <w:pPr>
        <w:pStyle w:val="ProductList-Body"/>
      </w:pPr>
      <w:r w:rsidRPr="008D6EF7">
        <w:rPr>
          <w:rFonts w:ascii="Calibri" w:eastAsia="Calibri" w:hAnsi="Calibri" w:cs="Arial"/>
          <w:szCs w:val="18"/>
        </w:rPr>
        <w:t>One Microsoft Way</w:t>
      </w:r>
    </w:p>
    <w:p w:rsidR="00BF75F8" w:rsidRPr="008D6EF7" w:rsidRDefault="00A95416" w:rsidP="00BF75F8">
      <w:pPr>
        <w:pStyle w:val="ProductList-Body"/>
      </w:pPr>
      <w:r w:rsidRPr="008D6EF7">
        <w:rPr>
          <w:rFonts w:ascii="Calibri" w:eastAsia="Calibri" w:hAnsi="Calibri" w:cs="Arial"/>
          <w:szCs w:val="18"/>
        </w:rPr>
        <w:t>Redmond, WA 98052 EUA</w:t>
      </w:r>
    </w:p>
    <w:p w:rsidR="00BF75F8" w:rsidRPr="008D6EF7" w:rsidRDefault="00A95416" w:rsidP="00BF75F8">
      <w:pPr>
        <w:rPr>
          <w:rFonts w:cstheme="minorHAnsi"/>
          <w:b/>
          <w:sz w:val="24"/>
          <w:szCs w:val="24"/>
          <w:lang w:eastAsia="zh-CN"/>
        </w:rPr>
      </w:pPr>
      <w:r w:rsidRPr="008D6EF7">
        <w:rPr>
          <w:rFonts w:cstheme="minorHAnsi"/>
          <w:b/>
          <w:sz w:val="24"/>
          <w:szCs w:val="24"/>
          <w:lang w:eastAsia="zh-CN"/>
        </w:rPr>
        <w:br w:type="page"/>
      </w:r>
    </w:p>
    <w:p w:rsidR="00BF75F8" w:rsidRPr="008D6EF7" w:rsidRDefault="00A95416" w:rsidP="00BF75F8">
      <w:pPr>
        <w:pStyle w:val="ProductList-SectionHeading"/>
        <w:outlineLvl w:val="0"/>
      </w:pPr>
      <w:r w:rsidRPr="008D6EF7">
        <w:rPr>
          <w:rFonts w:ascii="Calibri Light" w:eastAsia="Calibri Light" w:hAnsi="Calibri Light" w:cs="Arial"/>
          <w:szCs w:val="40"/>
        </w:rPr>
        <w:lastRenderedPageBreak/>
        <w:t>Anexo 2 – As Cláusulas Contratuais-Tipo (Subcontratantes) para os Serviços de Consultoria prestados pela Global Delivery India</w:t>
      </w:r>
    </w:p>
    <w:p w:rsidR="00845706" w:rsidRPr="008D6EF7" w:rsidRDefault="00A95416" w:rsidP="00845706">
      <w:pPr>
        <w:pStyle w:val="ProductList-Body"/>
      </w:pPr>
      <w:r w:rsidRPr="008D6EF7">
        <w:rPr>
          <w:rFonts w:ascii="Calibri" w:eastAsia="Calibri" w:hAnsi="Calibri" w:cs="Arial"/>
          <w:szCs w:val="18"/>
        </w:rPr>
        <w:t>A execução de uma declaração de serviços pelo Cliente inclui a execução deste Anexo 2, que será confirmado pela assinatura da Microsoft Global Delivery India. Para ficar excluído da aplicação das Cláusulas Contratuais-Tipo, o Cliente deve enviar as seguintes informações para a Microsoft numa notificação por escrito (ao abrigo dos termos do Contrato do Cliente):</w:t>
      </w:r>
    </w:p>
    <w:p w:rsidR="00845706" w:rsidRPr="008D6EF7" w:rsidRDefault="00A95416" w:rsidP="00845706">
      <w:pPr>
        <w:pStyle w:val="ProductList-Body"/>
      </w:pPr>
      <w:r w:rsidRPr="008D6EF7">
        <w:rPr>
          <w:rFonts w:ascii="Calibri" w:eastAsia="Calibri" w:hAnsi="Calibri" w:cs="Arial"/>
          <w:szCs w:val="18"/>
        </w:rPr>
        <w:t>•</w:t>
      </w:r>
      <w:r w:rsidRPr="008D6EF7">
        <w:rPr>
          <w:rFonts w:ascii="Calibri" w:eastAsia="Calibri" w:hAnsi="Calibri" w:cs="Arial"/>
          <w:szCs w:val="18"/>
        </w:rPr>
        <w:tab/>
        <w:t>o nome jurídico completo do Cliente e qualquer Afiliada que opte ativamente por não ficar excluída;</w:t>
      </w:r>
    </w:p>
    <w:p w:rsidR="00845706" w:rsidRPr="008D6EF7" w:rsidRDefault="00A95416" w:rsidP="00845706">
      <w:pPr>
        <w:pStyle w:val="ProductList-Body"/>
      </w:pPr>
      <w:r w:rsidRPr="008D6EF7">
        <w:rPr>
          <w:rFonts w:ascii="Calibri" w:eastAsia="Calibri" w:hAnsi="Calibri" w:cs="Arial"/>
          <w:szCs w:val="18"/>
        </w:rPr>
        <w:t>•</w:t>
      </w:r>
      <w:r w:rsidRPr="008D6EF7">
        <w:rPr>
          <w:rFonts w:ascii="Calibri" w:eastAsia="Calibri" w:hAnsi="Calibri" w:cs="Arial"/>
          <w:szCs w:val="18"/>
        </w:rPr>
        <w:tab/>
        <w:t>se o Cliente tiver múltiplos Contratos, o Contrato ao qual a exclusão se aplica; e</w:t>
      </w:r>
    </w:p>
    <w:p w:rsidR="00845706" w:rsidRPr="008D6EF7" w:rsidRDefault="00A95416" w:rsidP="00845706">
      <w:pPr>
        <w:pStyle w:val="ProductList-Body"/>
      </w:pPr>
      <w:r w:rsidRPr="008D6EF7">
        <w:rPr>
          <w:rFonts w:ascii="Calibri" w:eastAsia="Calibri" w:hAnsi="Calibri" w:cs="Arial"/>
          <w:szCs w:val="18"/>
        </w:rPr>
        <w:t>•</w:t>
      </w:r>
      <w:r w:rsidRPr="008D6EF7">
        <w:rPr>
          <w:rFonts w:ascii="Calibri" w:eastAsia="Calibri" w:hAnsi="Calibri" w:cs="Arial"/>
          <w:szCs w:val="18"/>
        </w:rPr>
        <w:tab/>
        <w:t>uma declaração em como o Cliente (ou Afiliada) optou por ficar excluído da aplicação das Cláusulas Contratuais-Tipo.</w:t>
      </w:r>
    </w:p>
    <w:p w:rsidR="00845706" w:rsidRPr="008D6EF7" w:rsidRDefault="00A95416" w:rsidP="00845706">
      <w:pPr>
        <w:pStyle w:val="ProductList-Body"/>
      </w:pPr>
      <w:r w:rsidRPr="008D6EF7">
        <w:rPr>
          <w:rFonts w:ascii="Calibri" w:eastAsia="Calibri" w:hAnsi="Calibri" w:cs="Arial"/>
          <w:szCs w:val="18"/>
        </w:rP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rsidR="00845706" w:rsidRPr="008D6EF7" w:rsidRDefault="00A95416" w:rsidP="00845706">
      <w:pPr>
        <w:pStyle w:val="ProductList-Body"/>
      </w:pPr>
      <w:r w:rsidRPr="008D6EF7">
        <w:rPr>
          <w:rFonts w:ascii="Calibri" w:eastAsia="Calibri" w:hAnsi="Calibri" w:cs="Arial"/>
          <w:szCs w:val="18"/>
        </w:rPr>
        <w:t>A partir de 25 de maio de 2018 e posteriormente, as referências nas Cláusulas Contratuais-Tipo infra aos diversos Artigos da Diretiva 95/46/EC serão consideradas referências aos Artigos correspondentes e adequados do RGPD.</w:t>
      </w:r>
    </w:p>
    <w:p w:rsidR="00845706" w:rsidRPr="008D6EF7" w:rsidRDefault="00845706" w:rsidP="00BF75F8">
      <w:pPr>
        <w:pStyle w:val="ProductList-Body"/>
      </w:pPr>
    </w:p>
    <w:p w:rsidR="00BF75F8" w:rsidRPr="008D6EF7" w:rsidRDefault="00A95416" w:rsidP="00BF75F8">
      <w:pPr>
        <w:pStyle w:val="ProductList-Body"/>
      </w:pPr>
      <w:r w:rsidRPr="008D6EF7">
        <w:rPr>
          <w:rFonts w:ascii="Calibri" w:eastAsia="Calibri" w:hAnsi="Calibri" w:cs="Arial"/>
          <w:szCs w:val="18"/>
        </w:rPr>
        <w:t xml:space="preserve">Para efeitos do Artigo 26(2) da Diretiva 95/46/CE para a transferência de dados pessoais para os subcontratantes estabelecidos noutros países que não garantem um nível adequado de proteção de dados, o Cliente (como exportador de dados) e a Microsoft Global Services Center (India) Private Limited (como importador de dados, cuja assinatura aparece abaixo), a seguir denominados individualmente </w:t>
      </w:r>
      <w:r w:rsidR="00156B18" w:rsidRPr="008D6EF7">
        <w:rPr>
          <w:rFonts w:ascii="Calibri" w:eastAsia="Calibri" w:hAnsi="Calibri" w:cs="Arial"/>
          <w:szCs w:val="18"/>
        </w:rPr>
        <w:t>“</w:t>
      </w:r>
      <w:r w:rsidRPr="008D6EF7">
        <w:rPr>
          <w:rFonts w:ascii="Calibri" w:eastAsia="Calibri" w:hAnsi="Calibri" w:cs="Arial"/>
          <w:szCs w:val="18"/>
        </w:rPr>
        <w:t>parte</w:t>
      </w:r>
      <w:r w:rsidR="00156B18" w:rsidRPr="008D6EF7">
        <w:rPr>
          <w:rFonts w:ascii="Calibri" w:eastAsia="Calibri" w:hAnsi="Calibri" w:cs="Arial"/>
          <w:szCs w:val="18"/>
        </w:rPr>
        <w:t>”</w:t>
      </w:r>
      <w:r w:rsidRPr="008D6EF7">
        <w:rPr>
          <w:rFonts w:ascii="Calibri" w:eastAsia="Calibri" w:hAnsi="Calibri" w:cs="Arial"/>
          <w:szCs w:val="18"/>
        </w:rPr>
        <w:t xml:space="preserve"> e coletivamente </w:t>
      </w:r>
      <w:r w:rsidR="00156B18" w:rsidRPr="008D6EF7">
        <w:rPr>
          <w:rFonts w:ascii="Calibri" w:eastAsia="Calibri" w:hAnsi="Calibri" w:cs="Arial"/>
          <w:szCs w:val="18"/>
        </w:rPr>
        <w:t>“</w:t>
      </w:r>
      <w:r w:rsidRPr="008D6EF7">
        <w:rPr>
          <w:rFonts w:ascii="Calibri" w:eastAsia="Calibri" w:hAnsi="Calibri" w:cs="Arial"/>
          <w:szCs w:val="18"/>
        </w:rPr>
        <w:t>partes</w:t>
      </w:r>
      <w:r w:rsidR="00156B18" w:rsidRPr="008D6EF7">
        <w:rPr>
          <w:rFonts w:ascii="Calibri" w:eastAsia="Calibri" w:hAnsi="Calibri" w:cs="Arial"/>
          <w:szCs w:val="18"/>
        </w:rPr>
        <w:t>”</w:t>
      </w:r>
      <w:r w:rsidRPr="008D6EF7">
        <w:rPr>
          <w:rFonts w:ascii="Calibri" w:eastAsia="Calibri" w:hAnsi="Calibri" w:cs="Arial"/>
          <w:szCs w:val="18"/>
        </w:rPr>
        <w:t xml:space="preserve">, concordam com as seguintes Cláusulas Contratuais (as </w:t>
      </w:r>
      <w:r w:rsidR="00156B18" w:rsidRPr="008D6EF7">
        <w:rPr>
          <w:rFonts w:ascii="Calibri" w:eastAsia="Calibri" w:hAnsi="Calibri" w:cs="Arial"/>
          <w:szCs w:val="18"/>
        </w:rPr>
        <w:t>“</w:t>
      </w:r>
      <w:r w:rsidRPr="008D6EF7">
        <w:rPr>
          <w:rFonts w:ascii="Calibri" w:eastAsia="Calibri" w:hAnsi="Calibri" w:cs="Arial"/>
          <w:szCs w:val="18"/>
        </w:rPr>
        <w:t>Cláusulas</w:t>
      </w:r>
      <w:r w:rsidR="00156B18" w:rsidRPr="008D6EF7">
        <w:rPr>
          <w:rFonts w:ascii="Calibri" w:eastAsia="Calibri" w:hAnsi="Calibri" w:cs="Arial"/>
          <w:szCs w:val="18"/>
        </w:rPr>
        <w:t>”</w:t>
      </w:r>
      <w:r w:rsidRPr="008D6EF7">
        <w:rPr>
          <w:rFonts w:ascii="Calibri" w:eastAsia="Calibri" w:hAnsi="Calibri" w:cs="Arial"/>
          <w:szCs w:val="18"/>
        </w:rPr>
        <w:t xml:space="preserve"> ou </w:t>
      </w:r>
      <w:r w:rsidR="00156B18" w:rsidRPr="008D6EF7">
        <w:rPr>
          <w:rFonts w:ascii="Calibri" w:eastAsia="Calibri" w:hAnsi="Calibri" w:cs="Arial"/>
          <w:szCs w:val="18"/>
        </w:rPr>
        <w:t>“</w:t>
      </w:r>
      <w:r w:rsidRPr="008D6EF7">
        <w:rPr>
          <w:rFonts w:ascii="Calibri" w:eastAsia="Calibri" w:hAnsi="Calibri" w:cs="Arial"/>
          <w:szCs w:val="18"/>
        </w:rPr>
        <w:t>Cláusulas Contratuais-Tipo</w:t>
      </w:r>
      <w:r w:rsidR="00156B18" w:rsidRPr="008D6EF7">
        <w:rPr>
          <w:rFonts w:ascii="Calibri" w:eastAsia="Calibri" w:hAnsi="Calibri" w:cs="Arial"/>
          <w:szCs w:val="18"/>
        </w:rPr>
        <w:t>”</w:t>
      </w:r>
      <w:r w:rsidRPr="008D6EF7">
        <w:rPr>
          <w:rFonts w:ascii="Calibri" w:eastAsia="Calibri" w:hAnsi="Calibri" w:cs="Arial"/>
          <w:szCs w:val="18"/>
        </w:rPr>
        <w:t>) para alegar medidas de segurança adequadas em relação à proteção da privacidade e direitos e liberdades fundamentais das pessoas para a transferência pelo exportador de dados para o importador dos dados pessoais especificados no Apêndice 1.</w:t>
      </w:r>
    </w:p>
    <w:p w:rsidR="00BF75F8" w:rsidRPr="008D6EF7" w:rsidRDefault="00BF75F8" w:rsidP="00BF75F8">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Cláusula 1: Definições</w:t>
      </w:r>
    </w:p>
    <w:p w:rsidR="005442D1" w:rsidRPr="008D6EF7" w:rsidRDefault="005442D1" w:rsidP="005442D1">
      <w:pPr>
        <w:pStyle w:val="ProductList-Body"/>
      </w:pP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a) «Dados pessoais», «categorias especiais de dados», «tratamento», «responsável pelo tratamento», «subcontratante», «titular dos dados» e «autoridade de controlo» têm o mesmo significado que na Directiva 95/46/CE do Parlamento Europeu e do Conselho, de 24 de Outubro de 1995, relativa à protecção das pessoas singulares no que diz respeito ao tratamento de dados pessoais e à livre circulação desses dados;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b) «Exportador de dados» é o responsável pelo tratamento que transfere os dados pessoais;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c) «Importador de dados»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protecção adequada na acepção do artigo 25. o , n. o 1, da Directiva 95/46/CE;</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d) «Subcontratante ulterior» é qualquer subcontratante do importador de dados ou de qualquer outro subcontratante do importador de dados que aceite receber do importador de dados ou de qualquer outro seu subcontratante dados pessoais destinados exclusivamente a actividades de tratamento a realizar por conta do exportador de dados após a transferência, em conformidade com as suas instruções, as condições previstas nas cláusulas e as condições do subcontrato escrito;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e) «Legislação sobre protecção de dados aplicável» é a legislação que protege os direitos e as liberdades fundamentais das pessoas e, em especial, o seu direito à protecção da vida privada no que diz respeito ao tratamento dos seus dados pessoais, aplicável a um responsável pelo tratamento dos dados no Estado-Membro em que o exportador de dados está estabelecido;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f) «Medidas de segurança técnicas e organizativas»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rsidR="005442D1" w:rsidRPr="008D6EF7" w:rsidRDefault="005442D1" w:rsidP="005442D1">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Cláusula 2: Pormenores da transferência</w:t>
      </w:r>
    </w:p>
    <w:p w:rsidR="005442D1" w:rsidRPr="008D6EF7" w:rsidRDefault="005442D1" w:rsidP="005442D1">
      <w:pPr>
        <w:pStyle w:val="ProductList-Body"/>
      </w:pPr>
    </w:p>
    <w:p w:rsidR="005442D1" w:rsidRPr="008D6EF7" w:rsidRDefault="005442D1" w:rsidP="005442D1">
      <w:pPr>
        <w:pStyle w:val="ProductList-Body"/>
        <w:rPr>
          <w:rFonts w:ascii="Calibri" w:eastAsia="Calibri" w:hAnsi="Calibri" w:cs="Arial"/>
          <w:szCs w:val="18"/>
        </w:rPr>
      </w:pPr>
      <w:r w:rsidRPr="008D6EF7">
        <w:rPr>
          <w:rFonts w:ascii="Calibri" w:eastAsia="Calibri" w:hAnsi="Calibri" w:cs="Arial"/>
          <w:szCs w:val="18"/>
        </w:rPr>
        <w:t xml:space="preserve">Os pormenores da transferência e em especial as categorias especiais de dados pessoais, quando aplicável, são especificados no apêndice 1, que faz parte integrante das presentes cláusulas. </w:t>
      </w:r>
    </w:p>
    <w:p w:rsidR="005442D1" w:rsidRPr="008D6EF7" w:rsidRDefault="005442D1" w:rsidP="005442D1">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Cláusula 3: Cláusula do terceiro beneficiário</w:t>
      </w:r>
    </w:p>
    <w:p w:rsidR="005442D1" w:rsidRPr="008D6EF7" w:rsidRDefault="005442D1" w:rsidP="005442D1">
      <w:pPr>
        <w:pStyle w:val="ProductList-Body"/>
      </w:pP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1. O titular dos dados pode fazer aplicar contra o exportador de dados a presente cláusula, a cláusula 4, alíneas b) a i), a cláusula 5, alíneas a) a e) e g) a j), a cláusula 6, n. os 1 e 2, a cláusula 7, a cláusula 8, n. o 2, e as cláusulas 9 a 12, na qualidade de terceiro beneficiário.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2. O titular dos dados pode fazer aplicar, contra o importador de dados a presente cláusula, a cláusula 5, alíneas a) a e) e g), as cláusulas 6 e 7, a cláusula 8, n. o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lastRenderedPageBreak/>
        <w:t xml:space="preserve">3. O titular dos dados pode fazer aplicar, contra o subcontratante ulterior a presente cláusula, a cláusula 5, alíneas a) a e) e g), as cláusulas 6 e 7, a cláusula 8, n. o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actividades de tratamento de dados ao abrigo das presentes cláusulas.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4. As partes não se opõem a que o titular dos dados seja representado por uma associação ou outro organismo se, expressamente, assim o desejar e a legislação nacional o permitir. </w:t>
      </w:r>
    </w:p>
    <w:p w:rsidR="005442D1" w:rsidRPr="008D6EF7" w:rsidRDefault="005442D1" w:rsidP="005442D1">
      <w:pPr>
        <w:pStyle w:val="ProductList-Body"/>
      </w:pPr>
    </w:p>
    <w:p w:rsidR="005442D1" w:rsidRPr="008D6EF7" w:rsidRDefault="005442D1" w:rsidP="005442D1">
      <w:pPr>
        <w:rPr>
          <w:b/>
          <w:sz w:val="18"/>
        </w:rPr>
      </w:pPr>
      <w:r w:rsidRPr="008D6EF7">
        <w:rPr>
          <w:b/>
        </w:rPr>
        <w:br w:type="page"/>
      </w:r>
    </w:p>
    <w:p w:rsidR="005442D1" w:rsidRPr="008D6EF7" w:rsidRDefault="005442D1" w:rsidP="005442D1">
      <w:pPr>
        <w:pStyle w:val="ProductList-Body"/>
        <w:keepNext/>
        <w:jc w:val="center"/>
        <w:outlineLvl w:val="1"/>
        <w:rPr>
          <w:b/>
        </w:rPr>
      </w:pPr>
      <w:r w:rsidRPr="008D6EF7">
        <w:rPr>
          <w:rFonts w:ascii="Calibri" w:eastAsia="Calibri" w:hAnsi="Calibri" w:cs="Arial"/>
          <w:b/>
          <w:szCs w:val="18"/>
        </w:rPr>
        <w:lastRenderedPageBreak/>
        <w:t>Cláusula 4: Obrigações do exportador de dados</w:t>
      </w:r>
    </w:p>
    <w:p w:rsidR="005442D1" w:rsidRPr="008D6EF7" w:rsidRDefault="005442D1" w:rsidP="005442D1">
      <w:pPr>
        <w:pStyle w:val="ProductList-Body"/>
        <w:keepNext/>
      </w:pPr>
    </w:p>
    <w:p w:rsidR="005442D1" w:rsidRPr="008D6EF7" w:rsidRDefault="005442D1" w:rsidP="005442D1">
      <w:pPr>
        <w:pStyle w:val="ProductList-Body"/>
        <w:keepNext/>
      </w:pPr>
      <w:r w:rsidRPr="008D6EF7">
        <w:rPr>
          <w:rFonts w:ascii="Calibri" w:eastAsia="Calibri" w:hAnsi="Calibri" w:cs="Arial"/>
          <w:szCs w:val="18"/>
        </w:rPr>
        <w:t xml:space="preserve">O exportador de dados concorda e garante: </w:t>
      </w:r>
    </w:p>
    <w:p w:rsidR="005442D1" w:rsidRPr="008D6EF7" w:rsidRDefault="005442D1" w:rsidP="005442D1">
      <w:pPr>
        <w:pStyle w:val="ProductList-Body"/>
      </w:pP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a) Que o tratamento dos dados pessoais, incluindo a própria transferência, foi e continuará a ser feito de acordo com as disposições pertinentes da legislação sobre protecção de dados aplicável (e que, se aplicável, foi notificada às entidades competentes do Estado-Membro em que o exportador de dados está estabelecido) e que não viola as disposições pertinentes desse Estado;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b) Que deu e continuará a dar instruções ao importador de dados durante os serviços de tratamento de dados pessoais para tratar os dados pessoais transferidos apenas por conta do exportador de dados e em conformidade com a legislação sobre protecção de dados aplicável e com as cláusulas;</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c) Que o importador de dados oferecerá garantias suficientes em relação às medidas de segurança técnicas e organizativas especificadas no Apêndice 2 do presente contrato;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d) Que, depois de avaliar os requisitos da legislação sobre protecção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e) Que zelará pelo cumprimento das medidas de segurança;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protecção adequado na acepção da Directiva 95/46/CE;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g) Que enviará qualquer notificação recebida do importador de dados ou de qualquer subcontratante ulterior à autoridade de controlo responsável pela protecção dos dados, nos termos da cláusula 5, alínea b), e da cláusula 8, n. o 3, se decidir continuar a transferência ou levantar a suspensão;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h) Que disponibilizará aos titulares dos dados, mediante pedido, um exemplar das cláusulas, com excepção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i) Que, em caso de subcontratação ulterior, a actividade de tratamento é realizada em conformidade com a cláusula 11 por um subcontratante que assegure pelo menos o mesmo nível de protecção dos dados pessoais e dos direitos dos titulares dos dados que o importador de dados em conformidade com as cláusulas; e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j) Que zelará pelo cumprimento da cláusula 4, alíneas a) a i). </w:t>
      </w:r>
    </w:p>
    <w:p w:rsidR="005442D1" w:rsidRPr="008D6EF7" w:rsidRDefault="005442D1" w:rsidP="005442D1">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Cláusula 5: Obrigações do importador de dados</w:t>
      </w:r>
    </w:p>
    <w:p w:rsidR="005442D1" w:rsidRPr="008D6EF7" w:rsidRDefault="005442D1" w:rsidP="005442D1">
      <w:pPr>
        <w:pStyle w:val="ProductList-Body"/>
      </w:pPr>
    </w:p>
    <w:p w:rsidR="005442D1" w:rsidRPr="008D6EF7" w:rsidRDefault="005442D1" w:rsidP="005442D1">
      <w:pPr>
        <w:pStyle w:val="ProductList-Body"/>
      </w:pPr>
      <w:r w:rsidRPr="008D6EF7">
        <w:t>O importador de dados acorda e garante:</w:t>
      </w:r>
    </w:p>
    <w:p w:rsidR="005442D1" w:rsidRPr="008D6EF7" w:rsidRDefault="005442D1" w:rsidP="005442D1">
      <w:pPr>
        <w:pStyle w:val="ProductList-Body"/>
      </w:pP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c) Que aplicou as medidas de segurança técnicas e organizativas previstas no Apêndice 2 antes de tratar os dados pessoais transferidos;</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d) Que notificará imediatamente o exportador de dados no que respeita a: </w:t>
      </w:r>
    </w:p>
    <w:p w:rsidR="005442D1" w:rsidRPr="008D6EF7" w:rsidRDefault="005442D1" w:rsidP="005442D1">
      <w:pPr>
        <w:pStyle w:val="ProductList-Body"/>
        <w:spacing w:after="60"/>
        <w:ind w:left="360"/>
        <w:rPr>
          <w:rFonts w:ascii="Calibri" w:eastAsia="Calibri" w:hAnsi="Calibri" w:cs="Arial"/>
          <w:szCs w:val="18"/>
        </w:rPr>
      </w:pPr>
      <w:r w:rsidRPr="008D6EF7" w:rsidDel="003C5B07">
        <w:rPr>
          <w:rFonts w:ascii="Calibri" w:eastAsia="Calibri" w:hAnsi="Calibri" w:cs="Arial"/>
          <w:szCs w:val="18"/>
        </w:rPr>
        <w:t xml:space="preserve"> </w:t>
      </w:r>
      <w:r w:rsidRPr="008D6EF7">
        <w:rPr>
          <w:rFonts w:ascii="Calibri" w:eastAsia="Calibri" w:hAnsi="Calibri" w:cs="Arial"/>
          <w:szCs w:val="18"/>
        </w:rP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rsidR="005442D1" w:rsidRPr="008D6EF7" w:rsidRDefault="005442D1" w:rsidP="005442D1">
      <w:pPr>
        <w:pStyle w:val="ProductList-Body"/>
        <w:spacing w:after="60"/>
        <w:ind w:left="360"/>
        <w:rPr>
          <w:rFonts w:ascii="Calibri" w:eastAsia="Calibri" w:hAnsi="Calibri" w:cs="Arial"/>
          <w:szCs w:val="18"/>
        </w:rPr>
      </w:pPr>
      <w:r w:rsidRPr="008D6EF7">
        <w:rPr>
          <w:rFonts w:ascii="Calibri" w:eastAsia="Calibri" w:hAnsi="Calibri" w:cs="Arial"/>
          <w:szCs w:val="18"/>
        </w:rPr>
        <w:t xml:space="preserve">ii) qualquer acesso acidental ou não autorizado; e </w:t>
      </w:r>
    </w:p>
    <w:p w:rsidR="005442D1" w:rsidRPr="008D6EF7" w:rsidRDefault="005442D1" w:rsidP="005442D1">
      <w:pPr>
        <w:pStyle w:val="ProductList-Body"/>
        <w:spacing w:after="60"/>
        <w:ind w:left="360"/>
        <w:rPr>
          <w:rFonts w:ascii="Calibri" w:eastAsia="Calibri" w:hAnsi="Calibri" w:cs="Arial"/>
          <w:szCs w:val="18"/>
        </w:rPr>
      </w:pPr>
      <w:r w:rsidRPr="008D6EF7">
        <w:rPr>
          <w:rFonts w:ascii="Calibri" w:eastAsia="Calibri" w:hAnsi="Calibri" w:cs="Arial"/>
          <w:szCs w:val="18"/>
        </w:rPr>
        <w:t xml:space="preserve">iii) qualquer pedido recebido directamente dos titulares de dados, sem responder a esse pedido, a não ser que tenha sido autorizado a fazê-lo; </w:t>
      </w:r>
    </w:p>
    <w:p w:rsidR="005442D1" w:rsidRPr="008D6EF7" w:rsidRDefault="005442D1" w:rsidP="005442D1">
      <w:pPr>
        <w:pStyle w:val="ProductList-Body"/>
        <w:spacing w:after="120"/>
        <w:rPr>
          <w:rFonts w:ascii="Calibri" w:eastAsia="Calibri" w:hAnsi="Calibri" w:cs="Arial"/>
          <w:szCs w:val="18"/>
        </w:rPr>
      </w:pPr>
      <w:r w:rsidRPr="008D6EF7" w:rsidDel="00551D0E">
        <w:rPr>
          <w:rFonts w:ascii="Calibri" w:eastAsia="Calibri" w:hAnsi="Calibri" w:cs="Arial"/>
          <w:szCs w:val="18"/>
        </w:rPr>
        <w:t xml:space="preserve"> </w:t>
      </w:r>
      <w:r w:rsidRPr="008D6EF7">
        <w:rPr>
          <w:rFonts w:ascii="Calibri" w:eastAsia="Calibri" w:hAnsi="Calibri" w:cs="Arial"/>
          <w:szCs w:val="18"/>
        </w:rPr>
        <w:t xml:space="preserve">e) Que responderá rápida e adequadamente a todos os pedidos de informação do exportador de dados relacionados com o tratamento por si efectuado dos dados pessoais objecto da transferência e que se submeterá aos conselhos da autoridade de controlo relativamente ao tratamento dos dados transferidos;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lastRenderedPageBreak/>
        <w:t xml:space="preserve">f) Que, a pedido do exportador de dados, apresentará os seus meios de tratamento de dados para auditoria das actividades de tratamento abrangidas pelas cláusulas, que será efectuada pelo exportador de dados ou por um organismo de inspecção, composto por membros independentes que possuam as qualificações profissionais exigidas e estejam vinculados por um dever de confidencialidade, escolhido pelo exportador de dados e, se necessário, de acordo com a autoridade de controlo;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excepção do Apêndice 2, que é substituído por uma descrição sumária das medidas de segurança, no caso de o titular dos dados não poder obter um exemplar do exportador de dados;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h) Que, em caso de subcontratação ulterior, informou previamente o exportador de dados e obteve o seu consentimento escrito prévio;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i) Que os serviços de tratamento de dados efectuados pelo subcontratante ulterior serão prestados em conformidade com a cláusula 11;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j) Que envia rapidamente ao exportador de dados uma cópia de qualquer acordo de subcontratação ulterior que celebrar ao abrigo das cláusulas. </w:t>
      </w:r>
    </w:p>
    <w:p w:rsidR="005442D1" w:rsidRPr="008D6EF7" w:rsidRDefault="005442D1" w:rsidP="005442D1">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Cláusula 6: Responsabilidade</w:t>
      </w:r>
    </w:p>
    <w:p w:rsidR="005442D1" w:rsidRPr="008D6EF7" w:rsidRDefault="005442D1" w:rsidP="005442D1">
      <w:pPr>
        <w:pStyle w:val="ProductList-Body"/>
      </w:pP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2. Se o titular dos dados não puder intentar uma acção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acção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O importador de dados não pode invocar o incumprimento por um subcontratante ulterior das suas obrigações para se eximir às suas próprias responsabilidades.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3. Se o titular dos dados não puder intentar a acção referida nos n. os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acção relativamente às suas próprias actividades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actividades de tratamento de dados ao abrigo das cláusulas.</w:t>
      </w:r>
    </w:p>
    <w:p w:rsidR="005442D1" w:rsidRPr="008D6EF7" w:rsidRDefault="005442D1" w:rsidP="005442D1">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Cláusula 7: Mediação e jurisdição</w:t>
      </w:r>
    </w:p>
    <w:p w:rsidR="005442D1" w:rsidRPr="008D6EF7" w:rsidRDefault="005442D1" w:rsidP="005442D1">
      <w:pPr>
        <w:pStyle w:val="ProductList-Body"/>
      </w:pPr>
    </w:p>
    <w:p w:rsidR="005442D1" w:rsidRPr="008D6EF7" w:rsidRDefault="005442D1" w:rsidP="005442D1">
      <w:pPr>
        <w:pStyle w:val="ProductList-Body"/>
      </w:pPr>
      <w:r w:rsidRPr="008D6EF7">
        <w:rPr>
          <w:rFonts w:ascii="Calibri" w:eastAsia="Calibri" w:hAnsi="Calibri" w:cs="Arial"/>
          <w:szCs w:val="18"/>
        </w:rPr>
        <w:t xml:space="preserve">1. O importador de dados acorda que se o titular dos dados invocar contra ele os direitos de terceiro beneficiário e/ou exigir uma indemnização por perdas e danos ao abrigo das cláusulas, aceita a decisão do titular dos dados de: </w:t>
      </w:r>
    </w:p>
    <w:p w:rsidR="005442D1" w:rsidRPr="008D6EF7" w:rsidRDefault="005442D1" w:rsidP="005442D1">
      <w:pPr>
        <w:pStyle w:val="ProductList-Body"/>
        <w:spacing w:after="60"/>
        <w:ind w:left="360"/>
        <w:rPr>
          <w:rFonts w:ascii="Calibri" w:eastAsia="Calibri" w:hAnsi="Calibri" w:cs="Arial"/>
          <w:szCs w:val="18"/>
        </w:rPr>
      </w:pPr>
      <w:r w:rsidRPr="008D6EF7">
        <w:rPr>
          <w:rFonts w:ascii="Calibri" w:eastAsia="Calibri" w:hAnsi="Calibri" w:cs="Arial"/>
          <w:szCs w:val="18"/>
        </w:rPr>
        <w:t xml:space="preserve">a) Submeter o litígio a mediação de uma pessoa independente ou, quando aplicável, da autoridade de controlo; </w:t>
      </w:r>
    </w:p>
    <w:p w:rsidR="005442D1" w:rsidRPr="008D6EF7" w:rsidRDefault="005442D1" w:rsidP="005442D1">
      <w:pPr>
        <w:pStyle w:val="ProductList-Body"/>
        <w:spacing w:after="60"/>
        <w:ind w:left="360"/>
        <w:rPr>
          <w:rFonts w:ascii="Calibri" w:eastAsia="Calibri" w:hAnsi="Calibri" w:cs="Arial"/>
          <w:szCs w:val="18"/>
        </w:rPr>
      </w:pPr>
      <w:r w:rsidRPr="008D6EF7">
        <w:rPr>
          <w:rFonts w:ascii="Calibri" w:eastAsia="Calibri" w:hAnsi="Calibri" w:cs="Arial"/>
          <w:szCs w:val="18"/>
        </w:rPr>
        <w:t xml:space="preserve">b) Submeter o litígio aos tribunais do Estado-Membro em que o exportador de dados está estabelecido. </w:t>
      </w:r>
    </w:p>
    <w:p w:rsidR="005442D1" w:rsidRPr="008D6EF7" w:rsidRDefault="005442D1" w:rsidP="005442D1">
      <w:pPr>
        <w:pStyle w:val="ProductList-Body"/>
        <w:rPr>
          <w:rFonts w:ascii="Calibri" w:eastAsia="Calibri" w:hAnsi="Calibri" w:cs="Arial"/>
          <w:szCs w:val="18"/>
        </w:rPr>
      </w:pPr>
      <w:r w:rsidRPr="008D6EF7">
        <w:rPr>
          <w:rFonts w:ascii="Calibri" w:eastAsia="Calibri" w:hAnsi="Calibri" w:cs="Arial"/>
          <w:szCs w:val="18"/>
        </w:rPr>
        <w:t xml:space="preserve">2. As partes acordam que a opção do titular dos dados não prejudicará os direitos materiais ou processuais do mesmo de obter reparação em conformidade com outras disposições do direito nacional ou internacional. </w:t>
      </w:r>
    </w:p>
    <w:p w:rsidR="005442D1" w:rsidRPr="008D6EF7" w:rsidRDefault="005442D1" w:rsidP="005442D1">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 xml:space="preserve">Cláusula 8: Cooperação com as autoridades de controlo </w:t>
      </w:r>
    </w:p>
    <w:p w:rsidR="005442D1" w:rsidRPr="008D6EF7" w:rsidRDefault="005442D1" w:rsidP="005442D1">
      <w:pPr>
        <w:pStyle w:val="ProductList-Body"/>
      </w:pP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1. O exportador de dados acorda depositar um exemplar do presente contrato junto da autoridade de controlo se esta o solicitar ou se a legislação sobre protecção de dados aplicável assim o exigir.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2. As partes acordam que a autoridade de controlo tem o direito de realizar auditorias ao importador de dados ou a qualquer subcontratante ulterior com o mesmo âmbito e nas mesmas condições das auditorias efectuadas ao exportador de dados, em conformidade com a legislação sobre protecção de dados aplicável.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 o 2. Nesse caso, o exportador de dados tem o direito de adoptar as medidas previstas na cláusula 5, alínea b). </w:t>
      </w:r>
    </w:p>
    <w:p w:rsidR="005442D1" w:rsidRPr="008D6EF7" w:rsidRDefault="005442D1" w:rsidP="005442D1">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 xml:space="preserve">Cláusula 9: Direito aplicável </w:t>
      </w:r>
    </w:p>
    <w:p w:rsidR="005442D1" w:rsidRPr="008D6EF7" w:rsidRDefault="005442D1" w:rsidP="005442D1">
      <w:pPr>
        <w:pStyle w:val="ProductList-Body"/>
      </w:pPr>
    </w:p>
    <w:p w:rsidR="005442D1" w:rsidRPr="008D6EF7" w:rsidRDefault="005442D1" w:rsidP="005442D1">
      <w:pPr>
        <w:pStyle w:val="ProductList-Body"/>
        <w:rPr>
          <w:rFonts w:ascii="Calibri" w:eastAsia="Calibri" w:hAnsi="Calibri" w:cs="Arial"/>
          <w:szCs w:val="18"/>
        </w:rPr>
      </w:pPr>
      <w:r w:rsidRPr="008D6EF7">
        <w:rPr>
          <w:rFonts w:ascii="Calibri" w:eastAsia="Calibri" w:hAnsi="Calibri" w:cs="Arial"/>
          <w:szCs w:val="18"/>
        </w:rPr>
        <w:t>As cláusulas são regidas pelo direito do Estado-Membro onde o exportador de dados está estabelecido.</w:t>
      </w:r>
    </w:p>
    <w:p w:rsidR="005442D1" w:rsidRPr="008D6EF7" w:rsidRDefault="005442D1" w:rsidP="005442D1">
      <w:pPr>
        <w:pStyle w:val="ProductList-Body"/>
      </w:pPr>
    </w:p>
    <w:p w:rsidR="005442D1" w:rsidRPr="008D6EF7" w:rsidRDefault="005442D1" w:rsidP="005442D1">
      <w:pPr>
        <w:pStyle w:val="ProductList-Body"/>
      </w:pPr>
    </w:p>
    <w:p w:rsidR="005442D1" w:rsidRPr="008D6EF7" w:rsidRDefault="005442D1" w:rsidP="005442D1">
      <w:pPr>
        <w:pStyle w:val="ProductList-Body"/>
        <w:keepNext/>
        <w:jc w:val="center"/>
        <w:outlineLvl w:val="1"/>
        <w:rPr>
          <w:b/>
        </w:rPr>
      </w:pPr>
      <w:r w:rsidRPr="008D6EF7">
        <w:rPr>
          <w:rFonts w:ascii="Calibri" w:eastAsia="Calibri" w:hAnsi="Calibri" w:cs="Arial"/>
          <w:b/>
          <w:szCs w:val="18"/>
        </w:rPr>
        <w:t>Cláusula 10: Alteração do contrato</w:t>
      </w:r>
    </w:p>
    <w:p w:rsidR="005442D1" w:rsidRPr="008D6EF7" w:rsidRDefault="005442D1" w:rsidP="005442D1">
      <w:pPr>
        <w:pStyle w:val="ProductList-Body"/>
        <w:keepNext/>
      </w:pPr>
    </w:p>
    <w:p w:rsidR="005442D1" w:rsidRPr="008D6EF7" w:rsidRDefault="005442D1" w:rsidP="005442D1">
      <w:pPr>
        <w:pStyle w:val="ProductList-Body"/>
        <w:rPr>
          <w:rFonts w:ascii="Calibri" w:eastAsia="Calibri" w:hAnsi="Calibri" w:cs="Arial"/>
          <w:szCs w:val="18"/>
        </w:rPr>
      </w:pPr>
      <w:r w:rsidRPr="008D6EF7">
        <w:rPr>
          <w:rFonts w:ascii="Calibri" w:eastAsia="Calibri" w:hAnsi="Calibri" w:cs="Arial"/>
          <w:szCs w:val="18"/>
        </w:rPr>
        <w:t xml:space="preserve">As partes comprometem-se a não alterar as cláusulas. Tal não impede que as partes aditem cláusulas de carácter comercial sempre que necessário, desde que as mesmas não contrariem a cláusula. </w:t>
      </w:r>
    </w:p>
    <w:p w:rsidR="005442D1" w:rsidRPr="008D6EF7" w:rsidRDefault="005442D1" w:rsidP="005442D1">
      <w:pPr>
        <w:pStyle w:val="ProductList-Body"/>
        <w:rPr>
          <w:b/>
        </w:rPr>
      </w:pPr>
    </w:p>
    <w:p w:rsidR="005442D1" w:rsidRPr="008D6EF7" w:rsidRDefault="005442D1" w:rsidP="005442D1">
      <w:pPr>
        <w:pStyle w:val="ProductList-Body"/>
        <w:jc w:val="center"/>
        <w:outlineLvl w:val="1"/>
      </w:pPr>
      <w:r w:rsidRPr="008D6EF7">
        <w:rPr>
          <w:rFonts w:ascii="Calibri" w:eastAsia="Calibri" w:hAnsi="Calibri" w:cs="Arial"/>
          <w:b/>
          <w:szCs w:val="18"/>
        </w:rPr>
        <w:t xml:space="preserve">Cláusula 11: Subcontratação ulterior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1. O importador de dados não subcontrata nenhuma das suas actividades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protecção de dados que lhe incumbem nos termos do referido acordo escrito, o importador de dados continua a ser plenamente responsável perante o exportador de dados pelo cumprimento destas obrigações ao abrigo do referido acordo.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2. O contrato escrito prévio entre o importador de dados e o subcontratante ulterior deve prever igualmente uma cláusula do terceiro beneficiário, tal como previsto na cláusula 3, para os casos em que o titular dos dados não puder intentar a acção de reparação referida na cláusula 6, n. o 1, contra o exportador ou o importador de dados por estes terem desaparecido de facto ou terem sido extintos legalmente ou por se terem tornado insolventes e nenhuma entidade sucessora ter assumido a totalidade das obrigações do exportador ou do importador de dados, mediante contrato ou por força da lei. Esta responsabilidade civil do subcontratante ulterior é limitada às suas próprias actividades de tratamento de dados ao abrigo das presentes cláusulas.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3. As disposições relativas aos aspectos ligados à protecção de dados no que se refere à subcontratação ulterior referida no n. o 1 são regidas pelo direito do Estado-Membro onde o exportador de dados está estabelecido.</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4. O exportador de dados mantém uma lista dos acordos de subcontratação ulterior celebrados ao abrigo das cláusulas e notificados pelo importador de dados em conformidade com a cláusula 5, alínea j), que será actualizada pelo menos uma vez por ano. Esta lista é colocada à disposição da autoridade de controlo da protecção de dados do exportador de dados. </w:t>
      </w:r>
    </w:p>
    <w:p w:rsidR="005442D1" w:rsidRPr="008D6EF7" w:rsidRDefault="005442D1" w:rsidP="005442D1">
      <w:pPr>
        <w:pStyle w:val="ProductList-Body"/>
      </w:pPr>
    </w:p>
    <w:p w:rsidR="005442D1" w:rsidRPr="008D6EF7" w:rsidRDefault="005442D1" w:rsidP="005442D1">
      <w:pPr>
        <w:pStyle w:val="ProductList-Body"/>
        <w:jc w:val="center"/>
        <w:outlineLvl w:val="1"/>
        <w:rPr>
          <w:b/>
        </w:rPr>
      </w:pPr>
      <w:r w:rsidRPr="008D6EF7">
        <w:rPr>
          <w:rFonts w:ascii="Calibri" w:eastAsia="Calibri" w:hAnsi="Calibri" w:cs="Arial"/>
          <w:b/>
          <w:szCs w:val="18"/>
        </w:rPr>
        <w:t>Cláusula 12: Obrigação depois de terminados os serviços de tratamento de dados pessoais</w:t>
      </w:r>
    </w:p>
    <w:p w:rsidR="005442D1" w:rsidRPr="008D6EF7" w:rsidRDefault="005442D1" w:rsidP="005442D1">
      <w:pPr>
        <w:pStyle w:val="ProductList-Body"/>
      </w:pP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excepto se a legislação imposta ao importador de dados o impedir de devolver ou destruir a totalidade ou parte dos dados pessoais transferidos. Nesse caso, o importador de dados garante a confidencialidade dos dados pessoais transferidos e não volta a tratar activamente os dados pessoais transferidos. </w:t>
      </w:r>
    </w:p>
    <w:p w:rsidR="005442D1" w:rsidRPr="008D6EF7" w:rsidRDefault="005442D1" w:rsidP="005442D1">
      <w:pPr>
        <w:pStyle w:val="ProductList-Body"/>
        <w:spacing w:after="120"/>
        <w:rPr>
          <w:rFonts w:ascii="Calibri" w:eastAsia="Calibri" w:hAnsi="Calibri" w:cs="Arial"/>
          <w:szCs w:val="18"/>
        </w:rPr>
      </w:pPr>
      <w:r w:rsidRPr="008D6EF7">
        <w:rPr>
          <w:rFonts w:ascii="Calibri" w:eastAsia="Calibri" w:hAnsi="Calibri" w:cs="Arial"/>
          <w:szCs w:val="18"/>
        </w:rPr>
        <w:t>2. O importador de dados e o seu subcontratante garantem que, a pedido do exportador de dados e/ou da autoridade de controlo, submeterão os seus meios de tratamento de dados a uma auditoria das medidas referidas no n. o 1.</w:t>
      </w:r>
    </w:p>
    <w:p w:rsidR="00BF75F8" w:rsidRPr="008D6EF7" w:rsidRDefault="00BF75F8" w:rsidP="00BF75F8">
      <w:pPr>
        <w:pStyle w:val="ProductList-Body"/>
      </w:pPr>
    </w:p>
    <w:p w:rsidR="00BF75F8" w:rsidRPr="008D6EF7" w:rsidRDefault="00A95416" w:rsidP="00BF75F8">
      <w:pPr>
        <w:pStyle w:val="ProductList-Body"/>
        <w:outlineLvl w:val="1"/>
        <w:rPr>
          <w:b/>
        </w:rPr>
      </w:pPr>
      <w:r w:rsidRPr="008D6EF7">
        <w:rPr>
          <w:rFonts w:ascii="Calibri" w:eastAsia="Calibri" w:hAnsi="Calibri" w:cs="Arial"/>
          <w:b/>
          <w:szCs w:val="18"/>
        </w:rPr>
        <w:t>Apêndice 1 às Cláusulas Contratuais-Tipo para os Serviços de Consultoria prestados pela Global Delivery India</w:t>
      </w:r>
    </w:p>
    <w:p w:rsidR="00BF75F8" w:rsidRPr="008D6EF7" w:rsidRDefault="00BF75F8" w:rsidP="00BF75F8">
      <w:pPr>
        <w:pStyle w:val="ProductList-Body"/>
      </w:pPr>
    </w:p>
    <w:p w:rsidR="00BF75F8" w:rsidRPr="008D6EF7" w:rsidRDefault="00A95416" w:rsidP="00BF75F8">
      <w:pPr>
        <w:pStyle w:val="ProductList-Body"/>
        <w:spacing w:after="120"/>
        <w:rPr>
          <w:rFonts w:cstheme="minorHAnsi"/>
          <w:spacing w:val="-1"/>
        </w:rPr>
      </w:pPr>
      <w:r w:rsidRPr="008D6EF7">
        <w:rPr>
          <w:rFonts w:ascii="Calibri" w:eastAsia="Calibri" w:hAnsi="Calibri" w:cs="Arial"/>
          <w:b/>
          <w:szCs w:val="18"/>
        </w:rPr>
        <w:t>Exportador de dados</w:t>
      </w:r>
      <w:r w:rsidRPr="008D6EF7">
        <w:rPr>
          <w:rFonts w:ascii="Calibri" w:eastAsia="Calibri" w:hAnsi="Calibri" w:cs="Arial"/>
          <w:szCs w:val="18"/>
        </w:rPr>
        <w:t xml:space="preserve">: O Cliente é o exportador de dados. </w:t>
      </w:r>
      <w:r w:rsidRPr="008D6EF7">
        <w:rPr>
          <w:rFonts w:ascii="Calibri" w:eastAsia="Calibri" w:hAnsi="Calibri" w:cs="Calibri"/>
          <w:szCs w:val="18"/>
        </w:rPr>
        <w:t>O exportador de dados pretende serviços de suporte e consultoria de TI profissionais, tal como descrito no Pedido de Serviços Empresariais aplicável.</w:t>
      </w:r>
      <w:r w:rsidR="00156B18" w:rsidRPr="008D6EF7">
        <w:rPr>
          <w:rFonts w:ascii="Calibri" w:eastAsia="Calibri" w:hAnsi="Calibri" w:cs="Calibri"/>
          <w:szCs w:val="18"/>
        </w:rPr>
        <w:t xml:space="preserve"> </w:t>
      </w:r>
    </w:p>
    <w:p w:rsidR="00BF75F8" w:rsidRPr="008D6EF7" w:rsidRDefault="00A95416" w:rsidP="00BF75F8">
      <w:pPr>
        <w:pStyle w:val="ProductList-Body"/>
        <w:spacing w:after="120"/>
      </w:pPr>
      <w:r w:rsidRPr="008D6EF7">
        <w:rPr>
          <w:rFonts w:ascii="Calibri" w:eastAsia="Calibri" w:hAnsi="Calibri" w:cs="Arial"/>
          <w:b/>
          <w:szCs w:val="18"/>
        </w:rPr>
        <w:t>Importador de dados:</w:t>
      </w:r>
      <w:r w:rsidRPr="008D6EF7">
        <w:rPr>
          <w:rFonts w:ascii="Calibri" w:eastAsia="Calibri" w:hAnsi="Calibri" w:cs="Arial"/>
          <w:szCs w:val="18"/>
        </w:rPr>
        <w:t xml:space="preserve"> O importador de dados é a </w:t>
      </w:r>
      <w:r w:rsidRPr="008D6EF7">
        <w:rPr>
          <w:rFonts w:ascii="Calibri" w:eastAsia="Calibri" w:hAnsi="Calibri" w:cs="Calibri"/>
          <w:szCs w:val="18"/>
        </w:rPr>
        <w:t>Microsoft Global Services Center (India) Private Limited</w:t>
      </w:r>
      <w:r w:rsidRPr="008D6EF7">
        <w:rPr>
          <w:rFonts w:ascii="Calibri" w:eastAsia="Calibri" w:hAnsi="Calibri" w:cs="Arial"/>
          <w:szCs w:val="18"/>
        </w:rPr>
        <w:t>, uma afiliada da Microsoft Corporation que presta serviços de consultoria de TI globais.</w:t>
      </w:r>
    </w:p>
    <w:p w:rsidR="00BF75F8" w:rsidRPr="008D6EF7" w:rsidRDefault="00A95416" w:rsidP="00BF75F8">
      <w:pPr>
        <w:pStyle w:val="ProductList-Body"/>
        <w:spacing w:after="120"/>
      </w:pPr>
      <w:r w:rsidRPr="008D6EF7">
        <w:rPr>
          <w:rFonts w:ascii="Calibri" w:eastAsia="Calibri" w:hAnsi="Calibri" w:cs="Arial"/>
          <w:b/>
          <w:szCs w:val="18"/>
        </w:rPr>
        <w:t>Titulares dos dados</w:t>
      </w:r>
      <w:r w:rsidRPr="008D6EF7">
        <w:rPr>
          <w:rFonts w:ascii="Calibri" w:eastAsia="Calibri" w:hAnsi="Calibri" w:cs="Arial"/>
          <w:szCs w:val="18"/>
        </w:rPr>
        <w:t xml:space="preserve">: Os titulares dos dados incluem os representantes e utilizadores finais do cliente do exportador de dados, incluindo os empregados, contratantes, colaboradores e clientes do exportador de dados. Os titulares dos dados também podem incluir indivíduos que tentem comunicar ou transferir informações pessoais para utilizadores dos serviços fornecidos pelo importador de dados. </w:t>
      </w:r>
    </w:p>
    <w:p w:rsidR="00BF75F8" w:rsidRPr="008D6EF7" w:rsidRDefault="00A95416" w:rsidP="00BF75F8">
      <w:pPr>
        <w:pStyle w:val="ProductList-Body"/>
        <w:spacing w:after="120"/>
      </w:pPr>
      <w:r w:rsidRPr="008D6EF7">
        <w:rPr>
          <w:rFonts w:ascii="Calibri" w:eastAsia="Calibri" w:hAnsi="Calibri" w:cs="Arial"/>
          <w:b/>
          <w:szCs w:val="18"/>
        </w:rPr>
        <w:t>Categorias de dados</w:t>
      </w:r>
      <w:r w:rsidRPr="008D6EF7">
        <w:rPr>
          <w:rFonts w:ascii="Calibri" w:eastAsia="Calibri" w:hAnsi="Calibri" w:cs="Arial"/>
          <w:szCs w:val="18"/>
        </w:rPr>
        <w:t>: Os dados pessoais transferidos incluem documentos e outros dados em formato eletrónico, conforme necessário para prestar os Serviços Profissionais.</w:t>
      </w:r>
    </w:p>
    <w:p w:rsidR="00BF75F8" w:rsidRPr="008D6EF7" w:rsidRDefault="00A95416" w:rsidP="00BF75F8">
      <w:pPr>
        <w:pStyle w:val="ProductList-Body"/>
      </w:pPr>
      <w:r w:rsidRPr="008D6EF7">
        <w:rPr>
          <w:rFonts w:ascii="Calibri" w:eastAsia="Calibri" w:hAnsi="Calibri" w:cs="Arial"/>
          <w:b/>
          <w:szCs w:val="18"/>
        </w:rPr>
        <w:t>Atividades de tratamento</w:t>
      </w:r>
      <w:r w:rsidRPr="008D6EF7">
        <w:rPr>
          <w:rFonts w:ascii="Calibri" w:eastAsia="Calibri" w:hAnsi="Calibri" w:cs="Arial"/>
          <w:szCs w:val="18"/>
        </w:rPr>
        <w:t xml:space="preserve">: Os dados pessoais transferidos estarão sujeitos às seguintes atividades de tratamento base: </w:t>
      </w:r>
    </w:p>
    <w:p w:rsidR="00BF75F8" w:rsidRPr="008D6EF7" w:rsidRDefault="00A95416" w:rsidP="00BF75F8">
      <w:pPr>
        <w:pStyle w:val="ProductList-Body"/>
        <w:spacing w:after="60"/>
        <w:ind w:left="547"/>
        <w:rPr>
          <w:b/>
        </w:rPr>
      </w:pPr>
      <w:r w:rsidRPr="008D6EF7">
        <w:rPr>
          <w:rFonts w:ascii="Calibri" w:eastAsia="Calibri" w:hAnsi="Calibri" w:cs="Arial"/>
          <w:b/>
          <w:szCs w:val="18"/>
        </w:rPr>
        <w:t>a.</w:t>
      </w:r>
      <w:r w:rsidRPr="008D6EF7">
        <w:rPr>
          <w:rFonts w:ascii="Calibri" w:eastAsia="Calibri" w:hAnsi="Calibri" w:cs="Arial"/>
          <w:b/>
          <w:szCs w:val="18"/>
        </w:rPr>
        <w:tab/>
        <w:t xml:space="preserve">Duração e Objeto do Tratamento de Dados. </w:t>
      </w:r>
      <w:r w:rsidRPr="008D6EF7">
        <w:rPr>
          <w:rFonts w:ascii="Calibri" w:eastAsia="Calibri" w:hAnsi="Calibri" w:cs="Arial"/>
          <w:szCs w:val="18"/>
        </w:rPr>
        <w:t>A duração do tratamento de dados deverá ser o período designado ao abrigo do contrato de licenciamento em volume aplicável entre o exportador de dados e a entidade da Microsoft onde estas Cláusulas Contratuais-Tipo são anexadas (</w:t>
      </w:r>
      <w:r w:rsidR="00156B18" w:rsidRPr="008D6EF7">
        <w:rPr>
          <w:rFonts w:ascii="Calibri" w:eastAsia="Calibri" w:hAnsi="Calibri" w:cs="Arial"/>
          <w:szCs w:val="18"/>
        </w:rPr>
        <w:t>“</w:t>
      </w:r>
      <w:r w:rsidRPr="008D6EF7">
        <w:rPr>
          <w:rFonts w:ascii="Calibri" w:eastAsia="Calibri" w:hAnsi="Calibri" w:cs="Arial"/>
          <w:szCs w:val="18"/>
        </w:rPr>
        <w:t>Microsoft</w:t>
      </w:r>
      <w:r w:rsidR="00156B18" w:rsidRPr="008D6EF7">
        <w:rPr>
          <w:rFonts w:ascii="Calibri" w:eastAsia="Calibri" w:hAnsi="Calibri" w:cs="Arial"/>
          <w:szCs w:val="18"/>
        </w:rPr>
        <w:t>”</w:t>
      </w:r>
      <w:r w:rsidRPr="008D6EF7">
        <w:rPr>
          <w:rFonts w:ascii="Calibri" w:eastAsia="Calibri" w:hAnsi="Calibri" w:cs="Arial"/>
          <w:szCs w:val="18"/>
        </w:rPr>
        <w:t>). O objetivo do tratamento de dados é o desempenho dos Serviços Profissionais.</w:t>
      </w:r>
    </w:p>
    <w:p w:rsidR="00BF75F8" w:rsidRPr="008D6EF7" w:rsidRDefault="00A95416" w:rsidP="00BF75F8">
      <w:pPr>
        <w:pStyle w:val="ProductList-Body"/>
        <w:spacing w:after="60"/>
        <w:ind w:left="547"/>
        <w:rPr>
          <w:b/>
        </w:rPr>
      </w:pPr>
      <w:r w:rsidRPr="008D6EF7">
        <w:rPr>
          <w:rFonts w:ascii="Calibri" w:eastAsia="Calibri" w:hAnsi="Calibri" w:cs="Arial"/>
          <w:b/>
          <w:szCs w:val="18"/>
        </w:rPr>
        <w:t>b.</w:t>
      </w:r>
      <w:r w:rsidRPr="008D6EF7">
        <w:rPr>
          <w:rFonts w:ascii="Calibri" w:eastAsia="Calibri" w:hAnsi="Calibri" w:cs="Arial"/>
          <w:b/>
          <w:szCs w:val="18"/>
        </w:rPr>
        <w:tab/>
        <w:t xml:space="preserve">Âmbito e Objetivo do Tratamento de Dados. </w:t>
      </w:r>
      <w:r w:rsidRPr="008D6EF7">
        <w:rPr>
          <w:rFonts w:ascii="Calibri" w:eastAsia="Calibri" w:hAnsi="Calibri" w:cs="Arial"/>
          <w:szCs w:val="18"/>
        </w:rPr>
        <w:t>O âmbito e objetivo do tratamento de dados pessoais é descrito na Adenda e no Contrato.</w:t>
      </w:r>
    </w:p>
    <w:p w:rsidR="00BF75F8" w:rsidRPr="008D6EF7" w:rsidRDefault="00A95416" w:rsidP="00BF75F8">
      <w:pPr>
        <w:pStyle w:val="ProductList-Body"/>
        <w:spacing w:after="60"/>
        <w:ind w:left="547"/>
      </w:pPr>
      <w:r w:rsidRPr="008D6EF7">
        <w:rPr>
          <w:rFonts w:ascii="Calibri" w:eastAsia="Calibri" w:hAnsi="Calibri" w:cs="Arial"/>
          <w:b/>
          <w:szCs w:val="18"/>
        </w:rPr>
        <w:t>c.</w:t>
      </w:r>
      <w:r w:rsidRPr="008D6EF7">
        <w:rPr>
          <w:rFonts w:ascii="Calibri" w:eastAsia="Calibri" w:hAnsi="Calibri" w:cs="Arial"/>
          <w:b/>
          <w:szCs w:val="18"/>
        </w:rPr>
        <w:tab/>
        <w:t xml:space="preserve">Acesso aos Dados de Suporte e Consultoria. </w:t>
      </w:r>
      <w:r w:rsidRPr="008D6EF7">
        <w:rPr>
          <w:rFonts w:ascii="Calibri" w:eastAsia="Calibri" w:hAnsi="Calibri" w:cs="Arial"/>
          <w:szCs w:val="18"/>
        </w:rPr>
        <w:t xml:space="preserve">Durante o período indicado no Contrato, a Microsoft irá, se assim o entender e conforme necessário ao abrigo da lei aplicável que transpõe o Artigo 12(b) da Diretiva da UE relativa à Proteção de Dados: (1) proporcionar ao Cliente a possibilidade de corrigir, eliminar ou bloquear dados de Suporte e Consultoria; ou (2) efetuar as correções, eliminações ou bloqueios em nome do Cliente. </w:t>
      </w:r>
    </w:p>
    <w:p w:rsidR="00BF75F8" w:rsidRPr="008D6EF7" w:rsidRDefault="00A95416" w:rsidP="00BF75F8">
      <w:pPr>
        <w:pStyle w:val="ProductList-Body"/>
        <w:spacing w:after="60"/>
        <w:ind w:left="547"/>
      </w:pPr>
      <w:r w:rsidRPr="008D6EF7">
        <w:rPr>
          <w:rFonts w:ascii="Calibri" w:eastAsia="Calibri" w:hAnsi="Calibri" w:cs="Arial"/>
          <w:b/>
          <w:szCs w:val="18"/>
        </w:rPr>
        <w:lastRenderedPageBreak/>
        <w:t>d.</w:t>
      </w:r>
      <w:r w:rsidRPr="008D6EF7">
        <w:rPr>
          <w:rFonts w:ascii="Calibri" w:eastAsia="Calibri" w:hAnsi="Calibri" w:cs="Arial"/>
          <w:b/>
          <w:szCs w:val="18"/>
        </w:rPr>
        <w:tab/>
        <w:t xml:space="preserve">Instruções do Exportador de Dados. </w:t>
      </w:r>
      <w:r w:rsidRPr="008D6EF7">
        <w:rPr>
          <w:rFonts w:ascii="Calibri" w:eastAsia="Calibri" w:hAnsi="Calibri" w:cs="Arial"/>
          <w:szCs w:val="18"/>
        </w:rPr>
        <w:t xml:space="preserve">Para os Serviços Profissionais, o importador de dados só agirá de acordo com as instruções do exportador de dados concedidas pela Microsoft. </w:t>
      </w:r>
    </w:p>
    <w:p w:rsidR="00BF75F8" w:rsidRPr="008D6EF7" w:rsidRDefault="00A95416" w:rsidP="00BF75F8">
      <w:pPr>
        <w:pStyle w:val="ProductList-Body"/>
        <w:spacing w:after="60"/>
        <w:ind w:left="547"/>
      </w:pPr>
      <w:r w:rsidRPr="008D6EF7">
        <w:rPr>
          <w:rFonts w:ascii="Calibri" w:eastAsia="Calibri" w:hAnsi="Calibri" w:cs="Arial"/>
          <w:b/>
          <w:szCs w:val="18"/>
        </w:rPr>
        <w:t>e.</w:t>
      </w:r>
      <w:r w:rsidRPr="008D6EF7">
        <w:rPr>
          <w:rFonts w:ascii="Calibri" w:eastAsia="Calibri" w:hAnsi="Calibri" w:cs="Arial"/>
          <w:b/>
          <w:szCs w:val="18"/>
        </w:rPr>
        <w:tab/>
        <w:t>Eliminação ou Devolução dos Dados de Suporte e Consultoria.</w:t>
      </w:r>
      <w:r w:rsidR="00156B18" w:rsidRPr="008D6EF7">
        <w:rPr>
          <w:rFonts w:ascii="Calibri" w:eastAsia="Calibri" w:hAnsi="Calibri" w:cs="Arial"/>
          <w:szCs w:val="18"/>
        </w:rPr>
        <w:t xml:space="preserve"> </w:t>
      </w:r>
      <w:r w:rsidRPr="008D6EF7">
        <w:rPr>
          <w:rFonts w:ascii="Calibri" w:eastAsia="Calibri" w:hAnsi="Calibri" w:cs="Arial"/>
          <w:szCs w:val="18"/>
        </w:rPr>
        <w:t xml:space="preserve">A Microsoft irá eliminar ou devolver todas as cópias dos Dados de Suporte e Consultoria após terem sido alcançados os fins comerciais para os quais os Dados de Suporte e Consultoria foram recolhidos ou transferidos ou mais cedo se o Cliente tiver enviado um pedido por escrito para esse fim. </w:t>
      </w:r>
    </w:p>
    <w:p w:rsidR="00BF75F8" w:rsidRPr="008D6EF7" w:rsidRDefault="00A95416" w:rsidP="00BF75F8">
      <w:pPr>
        <w:pStyle w:val="ProductList-Body"/>
      </w:pPr>
      <w:r w:rsidRPr="008D6EF7">
        <w:rPr>
          <w:rFonts w:ascii="Calibri" w:eastAsia="Calibri" w:hAnsi="Calibri" w:cs="Arial"/>
          <w:b/>
          <w:szCs w:val="18"/>
        </w:rPr>
        <w:t xml:space="preserve">Subcontratantes Ulteriores: </w:t>
      </w:r>
      <w:r w:rsidRPr="008D6EF7">
        <w:rPr>
          <w:rFonts w:ascii="Calibri" w:eastAsia="Calibri" w:hAnsi="Calibri" w:cs="Arial"/>
          <w:szCs w:val="18"/>
        </w:rPr>
        <w:t>O importador de dados poderá contratar outras empresas para fornecer serviços limitados em nome do importador de dados. Quaisquer subcontratantes poderão obter os Dados de Suporte e Consultoria apenas para fornecer os serviços instruídos pelo importador de dados, e estão proibidos de utilizar os Dados de Suporte e Consultoria para qualquer outra finalidade.</w:t>
      </w:r>
    </w:p>
    <w:p w:rsidR="00BF75F8" w:rsidRPr="008D6EF7" w:rsidRDefault="00BF75F8" w:rsidP="00BF75F8">
      <w:pPr>
        <w:pStyle w:val="ProductList-Body"/>
      </w:pPr>
    </w:p>
    <w:p w:rsidR="00BF75F8" w:rsidRPr="008D6EF7" w:rsidRDefault="00A95416" w:rsidP="00BF75F8">
      <w:pPr>
        <w:pStyle w:val="ProductList-Body"/>
        <w:outlineLvl w:val="1"/>
        <w:rPr>
          <w:b/>
        </w:rPr>
      </w:pPr>
      <w:r w:rsidRPr="008D6EF7">
        <w:rPr>
          <w:rFonts w:ascii="Calibri" w:eastAsia="Calibri" w:hAnsi="Calibri" w:cs="Arial"/>
          <w:b/>
          <w:szCs w:val="18"/>
        </w:rPr>
        <w:t>Apêndice 2 às Cláusulas Contratuais-Tipo para os Serviços de Consultoria prestados pela Global Delivery India</w:t>
      </w:r>
    </w:p>
    <w:p w:rsidR="00BF75F8" w:rsidRPr="008D6EF7" w:rsidRDefault="00BF75F8" w:rsidP="00BF75F8">
      <w:pPr>
        <w:pStyle w:val="ProductList-Body"/>
      </w:pPr>
    </w:p>
    <w:p w:rsidR="00BF75F8" w:rsidRPr="008D6EF7" w:rsidRDefault="00A95416" w:rsidP="00BF75F8">
      <w:pPr>
        <w:pStyle w:val="ProductList-Body"/>
        <w:spacing w:after="120"/>
      </w:pPr>
      <w:r w:rsidRPr="008D6EF7">
        <w:rPr>
          <w:rFonts w:ascii="Calibri" w:eastAsia="Calibri" w:hAnsi="Calibri" w:cs="Arial"/>
          <w:szCs w:val="18"/>
        </w:rPr>
        <w:t>Descrição das medidas de segurança técnicas e organizativas implementadas pelo importador de dados de acordo com as Cláusulas 4(d) e 5(c):</w:t>
      </w:r>
    </w:p>
    <w:p w:rsidR="00BF75F8" w:rsidRPr="008D6EF7" w:rsidRDefault="00A95416" w:rsidP="00BF75F8">
      <w:pPr>
        <w:pStyle w:val="ProductList-Body"/>
        <w:spacing w:after="120"/>
      </w:pPr>
      <w:r w:rsidRPr="008D6EF7">
        <w:rPr>
          <w:rFonts w:ascii="Calibri" w:eastAsia="Calibri" w:hAnsi="Calibri" w:cs="Arial"/>
          <w:szCs w:val="18"/>
        </w:rPr>
        <w:t xml:space="preserve">1. </w:t>
      </w:r>
      <w:r w:rsidRPr="008D6EF7">
        <w:rPr>
          <w:rFonts w:ascii="Calibri" w:eastAsia="Calibri" w:hAnsi="Calibri" w:cs="Arial"/>
          <w:b/>
          <w:szCs w:val="18"/>
        </w:rPr>
        <w:t>Pessoal</w:t>
      </w:r>
      <w:r w:rsidRPr="008D6EF7">
        <w:rPr>
          <w:rFonts w:ascii="Calibri" w:eastAsia="Calibri" w:hAnsi="Calibri" w:cs="Arial"/>
          <w:szCs w:val="18"/>
        </w:rPr>
        <w:t xml:space="preserve">. O pessoal do importador de dados não tratará os Dados de Suporte e Consultoria sem autorização do Cliente. O pessoal é obrigado a manter a confidencialidade de quaisquer Dados de Suporte e Consultoria e esta obrigação continua mesmo depois do fim do respetivo compromisso. </w:t>
      </w:r>
    </w:p>
    <w:p w:rsidR="00BF75F8" w:rsidRPr="008D6EF7" w:rsidRDefault="00A95416" w:rsidP="00BF75F8">
      <w:pPr>
        <w:pStyle w:val="ProductList-Body"/>
      </w:pPr>
      <w:r w:rsidRPr="008D6EF7">
        <w:rPr>
          <w:rFonts w:ascii="Calibri" w:eastAsia="Calibri" w:hAnsi="Calibri" w:cs="Arial"/>
          <w:szCs w:val="18"/>
        </w:rPr>
        <w:t xml:space="preserve">2. </w:t>
      </w:r>
      <w:r w:rsidRPr="008D6EF7">
        <w:rPr>
          <w:rFonts w:ascii="Calibri" w:eastAsia="Calibri" w:hAnsi="Calibri" w:cs="Arial"/>
          <w:b/>
          <w:szCs w:val="18"/>
        </w:rPr>
        <w:t>Contacto de Privacidade de Dados</w:t>
      </w:r>
      <w:r w:rsidRPr="008D6EF7">
        <w:rPr>
          <w:rFonts w:ascii="Calibri" w:eastAsia="Calibri" w:hAnsi="Calibri" w:cs="Arial"/>
          <w:szCs w:val="18"/>
        </w:rPr>
        <w:t xml:space="preserve">. O gabinete da privacidade de dados do importador de dados pode ser contactado através do seguinte endereço: </w:t>
      </w:r>
    </w:p>
    <w:p w:rsidR="00BF75F8" w:rsidRPr="008D6EF7" w:rsidRDefault="00A95416" w:rsidP="00BF75F8">
      <w:pPr>
        <w:pStyle w:val="ProductList-Body"/>
        <w:ind w:left="360"/>
      </w:pPr>
      <w:r w:rsidRPr="008D6EF7">
        <w:rPr>
          <w:rFonts w:ascii="Calibri" w:eastAsia="Calibri" w:hAnsi="Calibri" w:cs="Arial"/>
          <w:szCs w:val="18"/>
        </w:rPr>
        <w:t>Microsoft Global Services Center (India) Private Limited</w:t>
      </w:r>
      <w:r w:rsidR="00156B18" w:rsidRPr="008D6EF7">
        <w:rPr>
          <w:rFonts w:ascii="Calibri" w:eastAsia="Calibri" w:hAnsi="Calibri" w:cs="Arial"/>
          <w:szCs w:val="18"/>
        </w:rPr>
        <w:t xml:space="preserve"> </w:t>
      </w:r>
    </w:p>
    <w:p w:rsidR="00BF75F8" w:rsidRPr="008D6EF7" w:rsidRDefault="00A95416" w:rsidP="00BF75F8">
      <w:pPr>
        <w:pStyle w:val="ProductList-Body"/>
        <w:ind w:left="360"/>
      </w:pPr>
      <w:r w:rsidRPr="008D6EF7">
        <w:rPr>
          <w:rFonts w:ascii="Calibri" w:eastAsia="Calibri" w:hAnsi="Calibri" w:cs="Arial"/>
          <w:szCs w:val="18"/>
        </w:rPr>
        <w:t xml:space="preserve">Attn: </w:t>
      </w:r>
      <w:r w:rsidRPr="008D6EF7">
        <w:rPr>
          <w:rFonts w:ascii="Calibri" w:eastAsia="Calibri" w:hAnsi="Calibri" w:cs="Calibri"/>
          <w:szCs w:val="18"/>
        </w:rPr>
        <w:t>Ravi Piduri</w:t>
      </w:r>
    </w:p>
    <w:p w:rsidR="00BF75F8" w:rsidRPr="008D6EF7" w:rsidRDefault="00A95416" w:rsidP="00BF75F8">
      <w:pPr>
        <w:pStyle w:val="ProductList-Body"/>
        <w:ind w:left="360"/>
      </w:pPr>
      <w:r w:rsidRPr="008D6EF7">
        <w:rPr>
          <w:rFonts w:ascii="Calibri" w:eastAsia="Calibri" w:hAnsi="Calibri" w:cs="Arial"/>
          <w:szCs w:val="18"/>
        </w:rPr>
        <w:t xml:space="preserve">1 Microsoft Way </w:t>
      </w:r>
    </w:p>
    <w:p w:rsidR="00BF75F8" w:rsidRPr="008D6EF7" w:rsidRDefault="00A95416" w:rsidP="00BF75F8">
      <w:pPr>
        <w:pStyle w:val="ProductList-Body"/>
        <w:spacing w:after="120"/>
        <w:ind w:left="360"/>
      </w:pPr>
      <w:r w:rsidRPr="008D6EF7">
        <w:rPr>
          <w:rFonts w:ascii="Calibri" w:eastAsia="Calibri" w:hAnsi="Calibri" w:cs="Arial"/>
          <w:szCs w:val="18"/>
        </w:rPr>
        <w:t xml:space="preserve">Redmond, WA 98052 EUA </w:t>
      </w:r>
    </w:p>
    <w:p w:rsidR="00BF75F8" w:rsidRPr="008D6EF7" w:rsidRDefault="00A95416" w:rsidP="00BF75F8">
      <w:pPr>
        <w:pStyle w:val="ProductList-Body"/>
        <w:spacing w:after="120"/>
      </w:pPr>
      <w:r w:rsidRPr="008D6EF7">
        <w:rPr>
          <w:rFonts w:ascii="Calibri" w:eastAsia="Calibri" w:hAnsi="Calibri" w:cs="Arial"/>
          <w:szCs w:val="18"/>
        </w:rPr>
        <w:t xml:space="preserve">3. </w:t>
      </w:r>
      <w:r w:rsidRPr="008D6EF7">
        <w:rPr>
          <w:rFonts w:ascii="Calibri" w:eastAsia="Calibri" w:hAnsi="Calibri" w:cs="Arial"/>
          <w:b/>
          <w:szCs w:val="18"/>
        </w:rPr>
        <w:t>Medidas Técnicas e Organizativas</w:t>
      </w:r>
      <w:r w:rsidRPr="008D6EF7">
        <w:rPr>
          <w:rFonts w:ascii="Calibri" w:eastAsia="Calibri" w:hAnsi="Calibri" w:cs="Arial"/>
          <w:szCs w:val="18"/>
        </w:rPr>
        <w:t>. O importador de dados procede à implementação e manutenção das medidas técnicas e organizativas, dos controlos internos e das rotinas de segurança de informações corretos que se destinam a proteger os Dados de Suporte e Consultoria, conforme definido na Adenda à Proteção de Dados dos Serviços Profissionais da Microsoft, no que diz respeito à perda, destruição ou alteração acidental; divulgação ou acesso não autorizado ou destruição ilícita da seguinte forma: As medidas técnicas e organizativas, controlos internos e rotinas de segurança de informações estipulados na Prova 1 são aqui incorporados neste Apêndice 2 por esta referência e são vinculativos ao importador de dados pois foram definidos na íntegra neste Apêndice 2.</w:t>
      </w:r>
    </w:p>
    <w:p w:rsidR="00BF75F8" w:rsidRPr="008D6EF7" w:rsidRDefault="00A95416" w:rsidP="00BF75F8">
      <w:pPr>
        <w:pStyle w:val="ProductList-Body"/>
      </w:pPr>
      <w:r w:rsidRPr="008D6EF7">
        <w:rPr>
          <w:rFonts w:ascii="Calibri" w:eastAsia="Calibri" w:hAnsi="Calibri" w:cs="Arial"/>
          <w:szCs w:val="18"/>
        </w:rPr>
        <w:t>A assinatura da Microsoft Corporation aparece na página seguinte.</w:t>
      </w:r>
    </w:p>
    <w:p w:rsidR="00BF75F8" w:rsidRPr="008D6EF7" w:rsidRDefault="00A95416" w:rsidP="00BF75F8">
      <w:pPr>
        <w:pStyle w:val="ProductList-Body"/>
      </w:pPr>
      <w:r w:rsidRPr="008D6EF7">
        <w:br w:type="page"/>
      </w:r>
    </w:p>
    <w:p w:rsidR="00BF75F8" w:rsidRPr="008D6EF7" w:rsidRDefault="00BF75F8" w:rsidP="00BF75F8">
      <w:pPr>
        <w:pStyle w:val="ProductList-Body"/>
      </w:pPr>
    </w:p>
    <w:p w:rsidR="00BF75F8" w:rsidRPr="008D6EF7" w:rsidRDefault="00A95416" w:rsidP="00BF75F8">
      <w:pPr>
        <w:pStyle w:val="ProductList-Body"/>
        <w:outlineLvl w:val="1"/>
        <w:rPr>
          <w:b/>
        </w:rPr>
      </w:pPr>
      <w:r w:rsidRPr="008D6EF7">
        <w:rPr>
          <w:rFonts w:ascii="Calibri" w:eastAsia="Calibri" w:hAnsi="Calibri" w:cs="Arial"/>
          <w:b/>
          <w:szCs w:val="18"/>
        </w:rPr>
        <w:t>Assinar as Cláusulas Contratuais-Tipo para Serviços de Consultoria, prestados pela Global Delivery India, Apêndice 1 e Apêndice 2 em nome do importador de dados:</w:t>
      </w:r>
    </w:p>
    <w:p w:rsidR="00BF75F8" w:rsidRPr="008D6EF7" w:rsidRDefault="00BF75F8" w:rsidP="00BF75F8">
      <w:pPr>
        <w:pStyle w:val="ProductList-Body"/>
      </w:pPr>
    </w:p>
    <w:p w:rsidR="00BF75F8" w:rsidRPr="008D6EF7" w:rsidRDefault="00A95416" w:rsidP="00BF75F8">
      <w:pPr>
        <w:keepNext/>
        <w:tabs>
          <w:tab w:val="right" w:pos="9000"/>
        </w:tabs>
        <w:spacing w:before="360"/>
      </w:pPr>
      <w:r w:rsidRPr="008D6EF7">
        <w:rPr>
          <w:rFonts w:ascii="Calibri" w:eastAsia="Calibri" w:hAnsi="Calibri" w:cs="Calibri"/>
          <w:sz w:val="23"/>
          <w:szCs w:val="23"/>
        </w:rPr>
        <w:t>Assinatura</w:t>
      </w:r>
    </w:p>
    <w:p w:rsidR="00BF75F8" w:rsidRPr="008D6EF7" w:rsidRDefault="00A95416" w:rsidP="00BF75F8">
      <w:pPr>
        <w:keepNext/>
        <w:tabs>
          <w:tab w:val="right" w:pos="9000"/>
        </w:tabs>
        <w:spacing w:before="360"/>
        <w:rPr>
          <w:rFonts w:cstheme="minorHAnsi"/>
          <w:sz w:val="23"/>
          <w:szCs w:val="23"/>
        </w:rPr>
      </w:pPr>
      <w:r w:rsidRPr="008D6EF7">
        <w:rPr>
          <w:noProof/>
          <w:lang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511246" name=""/>
                    <pic:cNvPicPr/>
                  </pic:nvPicPr>
                  <pic:blipFill>
                    <a:blip r:embed="rId16" cstate="print"/>
                    <a:stretch>
                      <a:fillRect/>
                    </a:stretch>
                  </pic:blipFill>
                  <pic:spPr>
                    <a:xfrm>
                      <a:off x="0" y="0"/>
                      <a:ext cx="1676400" cy="781050"/>
                    </a:xfrm>
                    <a:prstGeom prst="rect">
                      <a:avLst/>
                    </a:prstGeom>
                  </pic:spPr>
                </pic:pic>
              </a:graphicData>
            </a:graphic>
          </wp:inline>
        </w:drawing>
      </w:r>
    </w:p>
    <w:p w:rsidR="00BF75F8" w:rsidRPr="008D6EF7" w:rsidRDefault="00A95416" w:rsidP="00BF75F8">
      <w:pPr>
        <w:keepNext/>
        <w:spacing w:before="120"/>
        <w:rPr>
          <w:rFonts w:cstheme="minorHAnsi"/>
          <w:b/>
          <w:spacing w:val="-2"/>
        </w:rPr>
      </w:pPr>
      <w:bookmarkStart w:id="27" w:name="_Hlk498066566"/>
      <w:r w:rsidRPr="008D6EF7">
        <w:rPr>
          <w:rFonts w:ascii="Calibri" w:eastAsia="Calibri" w:hAnsi="Calibri" w:cs="Calibri"/>
          <w:b/>
          <w:spacing w:val="-2"/>
        </w:rPr>
        <w:t>Amit Sircar, Vice-Presidente</w:t>
      </w:r>
    </w:p>
    <w:bookmarkEnd w:id="27"/>
    <w:p w:rsidR="00BF75F8" w:rsidRPr="008D6EF7" w:rsidRDefault="00A95416" w:rsidP="00BF75F8">
      <w:pPr>
        <w:pStyle w:val="ProductList-Body"/>
      </w:pPr>
      <w:r w:rsidRPr="008D6EF7">
        <w:rPr>
          <w:rFonts w:ascii="Calibri" w:eastAsia="Calibri" w:hAnsi="Calibri" w:cs="Arial"/>
          <w:szCs w:val="18"/>
        </w:rPr>
        <w:t xml:space="preserve">Microsoft Global Services Center (India) Private Limited </w:t>
      </w:r>
    </w:p>
    <w:p w:rsidR="00BF75F8" w:rsidRPr="008D6EF7" w:rsidRDefault="00A95416" w:rsidP="00BF75F8">
      <w:pPr>
        <w:pStyle w:val="ProductList-Body"/>
      </w:pPr>
      <w:r w:rsidRPr="008D6EF7">
        <w:rPr>
          <w:rFonts w:ascii="Calibri" w:eastAsia="Calibri" w:hAnsi="Calibri" w:cs="Arial"/>
          <w:szCs w:val="18"/>
        </w:rPr>
        <w:t xml:space="preserve">Building 1, Microsoft Campus, Gachibowli, </w:t>
      </w:r>
    </w:p>
    <w:p w:rsidR="00BF75F8" w:rsidRPr="008D6EF7" w:rsidRDefault="00A95416" w:rsidP="00BF75F8">
      <w:pPr>
        <w:pStyle w:val="ProductList-Body"/>
      </w:pPr>
      <w:r w:rsidRPr="008D6EF7">
        <w:rPr>
          <w:rFonts w:ascii="Calibri" w:eastAsia="Calibri" w:hAnsi="Calibri" w:cs="Arial"/>
          <w:szCs w:val="18"/>
        </w:rPr>
        <w:t xml:space="preserve">Hyderabad – 500032, Índia </w:t>
      </w:r>
    </w:p>
    <w:p w:rsidR="00BF75F8" w:rsidRPr="008D6EF7" w:rsidRDefault="00BF75F8" w:rsidP="00BF75F8">
      <w:pPr>
        <w:rPr>
          <w:rFonts w:cstheme="minorHAnsi"/>
          <w:b/>
          <w:sz w:val="24"/>
          <w:szCs w:val="24"/>
          <w:lang w:eastAsia="zh-CN"/>
        </w:rPr>
      </w:pPr>
    </w:p>
    <w:p w:rsidR="00BF75F8" w:rsidRPr="008D6EF7" w:rsidRDefault="00BF75F8" w:rsidP="00BF75F8">
      <w:pPr>
        <w:rPr>
          <w:rFonts w:cstheme="minorHAnsi"/>
          <w:b/>
          <w:sz w:val="24"/>
          <w:szCs w:val="24"/>
          <w:lang w:eastAsia="zh-CN"/>
        </w:rPr>
      </w:pPr>
    </w:p>
    <w:p w:rsidR="00BF75F8" w:rsidRPr="008D6EF7" w:rsidRDefault="00A95416" w:rsidP="00BF75F8">
      <w:pPr>
        <w:rPr>
          <w:sz w:val="18"/>
        </w:rPr>
      </w:pPr>
      <w:r w:rsidRPr="008D6EF7">
        <w:rPr>
          <w:sz w:val="18"/>
        </w:rPr>
        <w:br w:type="page"/>
      </w:r>
    </w:p>
    <w:p w:rsidR="00BF75F8" w:rsidRPr="008D6EF7" w:rsidRDefault="00A95416" w:rsidP="00BF75F8">
      <w:pPr>
        <w:pStyle w:val="ProductList-SectionHeading"/>
        <w:outlineLvl w:val="0"/>
      </w:pPr>
      <w:bookmarkStart w:id="28" w:name="Attachment4"/>
      <w:bookmarkStart w:id="29" w:name="_Toc489605629"/>
      <w:r w:rsidRPr="008D6EF7">
        <w:rPr>
          <w:rFonts w:ascii="Calibri Light" w:eastAsia="Calibri Light" w:hAnsi="Calibri Light" w:cs="Arial"/>
          <w:szCs w:val="40"/>
        </w:rPr>
        <w:lastRenderedPageBreak/>
        <w:t>Anexo 3 – Termos do Regulamento Geral sobre a Proteção de Dados da União Europeia</w:t>
      </w:r>
      <w:bookmarkEnd w:id="28"/>
      <w:bookmarkEnd w:id="29"/>
    </w:p>
    <w:p w:rsidR="00BF75F8" w:rsidRPr="008D6EF7" w:rsidRDefault="00A95416" w:rsidP="00B0434E">
      <w:pPr>
        <w:pStyle w:val="ProductList-Body"/>
        <w:tabs>
          <w:tab w:val="clear" w:pos="158"/>
          <w:tab w:val="left" w:pos="0"/>
        </w:tabs>
        <w:spacing w:after="120"/>
      </w:pPr>
      <w:r w:rsidRPr="008D6EF7">
        <w:rPr>
          <w:rFonts w:ascii="Calibri" w:eastAsia="Calibri" w:hAnsi="Calibri" w:cs="Arial"/>
          <w:szCs w:val="18"/>
        </w:rPr>
        <w:t>Para efeitos destas Disposições do RGPD, o Cliente e a Microsoft concordam que o Cliente é o responsável pelo tratamento dos Dados Pessoais do Cliente e a Microsoft é o subcontratante destes dados, exceto quando o Cliente agir como subcontratante dos Dados Pessoais, caso em que a Microsoft é um subcontratante ulterior. Os presentes Termos do RGPD são aplicáveis ao tratamento de Dados Pessoais, no âmbito do RGPD, pela Microsoft em nome do Cliente.</w:t>
      </w:r>
    </w:p>
    <w:p w:rsidR="00BF75F8" w:rsidRPr="008D6EF7" w:rsidRDefault="00A95416" w:rsidP="007C2490">
      <w:pPr>
        <w:pStyle w:val="ProductList-Body"/>
        <w:spacing w:after="120"/>
      </w:pPr>
      <w:r w:rsidRPr="008D6EF7">
        <w:rPr>
          <w:rFonts w:ascii="Calibri" w:eastAsia="Calibri" w:hAnsi="Calibri" w:cs="Arial"/>
          <w:szCs w:val="18"/>
        </w:rPr>
        <w:t>Os presentes Termos do RGPD não limitam nem reduzem quaisquer compromissos de proteção de dados que a Microsoft faça perante o Cliente na Adenda de Proteção de Dados de Suporte e Consultoria ou noutro contrato entre a Microsoft e o Cliente.</w:t>
      </w:r>
    </w:p>
    <w:p w:rsidR="00BF75F8" w:rsidRPr="008D6EF7" w:rsidRDefault="00A95416" w:rsidP="007C2490">
      <w:pPr>
        <w:pStyle w:val="ProductList-Body"/>
        <w:spacing w:after="120"/>
      </w:pPr>
      <w:r w:rsidRPr="008D6EF7">
        <w:rPr>
          <w:rFonts w:ascii="Calibri" w:eastAsia="Calibri" w:hAnsi="Calibri" w:cs="Arial"/>
          <w:szCs w:val="18"/>
        </w:rPr>
        <w:t xml:space="preserve">Os presentes Termos do RGPD não são aplicáveis quando a Microsoft é um responsável pelo tratamento de Dados Pessoais. </w:t>
      </w:r>
    </w:p>
    <w:p w:rsidR="00BF75F8" w:rsidRPr="008D6EF7" w:rsidRDefault="00BF75F8" w:rsidP="00BF75F8">
      <w:pPr>
        <w:pStyle w:val="ProductList-Body"/>
      </w:pPr>
    </w:p>
    <w:p w:rsidR="00BF75F8" w:rsidRPr="008D6EF7" w:rsidRDefault="00A95416" w:rsidP="00BF75F8">
      <w:pPr>
        <w:pStyle w:val="ProductList-Body"/>
        <w:outlineLvl w:val="1"/>
        <w:rPr>
          <w:b/>
        </w:rPr>
      </w:pPr>
      <w:r w:rsidRPr="008D6EF7">
        <w:rPr>
          <w:rFonts w:ascii="Calibri" w:eastAsia="Calibri" w:hAnsi="Calibri" w:cs="Arial"/>
          <w:b/>
          <w:szCs w:val="18"/>
        </w:rPr>
        <w:t>Obrigações Relevantes previstas no RGPD: Artigos 28, 32 e 33</w:t>
      </w:r>
    </w:p>
    <w:p w:rsidR="00BF75F8" w:rsidRPr="008D6EF7" w:rsidRDefault="00BF75F8" w:rsidP="00BF75F8">
      <w:pPr>
        <w:pStyle w:val="ProductList-Body"/>
      </w:pPr>
    </w:p>
    <w:p w:rsidR="00BF75F8" w:rsidRPr="008D6EF7" w:rsidRDefault="00A95416" w:rsidP="00BF75F8">
      <w:pPr>
        <w:pStyle w:val="ProductList-Body"/>
        <w:spacing w:after="120"/>
        <w:ind w:left="158"/>
      </w:pPr>
      <w:r w:rsidRPr="008D6EF7">
        <w:rPr>
          <w:rFonts w:ascii="Calibri" w:eastAsia="Calibri" w:hAnsi="Calibri" w:cs="Arial"/>
          <w:b/>
          <w:szCs w:val="18"/>
        </w:rPr>
        <w:t xml:space="preserve">1. </w:t>
      </w:r>
      <w:r w:rsidRPr="008D6EF7">
        <w:rPr>
          <w:rFonts w:ascii="Calibri" w:eastAsia="Calibri" w:hAnsi="Calibri" w:cs="Arial"/>
          <w:szCs w:val="18"/>
        </w:rPr>
        <w:t>A Microsoft não deve contratar outro subcontratante sem a autorização escrita geral ou específica prévia do Cliente.</w:t>
      </w:r>
      <w:r w:rsidR="00156B18" w:rsidRPr="008D6EF7">
        <w:rPr>
          <w:rFonts w:ascii="Calibri" w:eastAsia="Calibri" w:hAnsi="Calibri" w:cs="Arial"/>
          <w:szCs w:val="18"/>
        </w:rPr>
        <w:t xml:space="preserve"> </w:t>
      </w:r>
      <w:r w:rsidRPr="008D6EF7">
        <w:rPr>
          <w:rFonts w:ascii="Calibri" w:eastAsia="Calibri" w:hAnsi="Calibri" w:cs="Arial"/>
          <w:szCs w:val="18"/>
        </w:rPr>
        <w:t>No caso da autorização escrita geral, a Microsoft informará o Cliente de quaisquer alterações pretendidas relativas à inclusão ou substituição de outros contratantes, dando ao Cliente a oportunidade de contestar estas alterações.</w:t>
      </w:r>
      <w:r w:rsidR="00156B18" w:rsidRPr="008D6EF7">
        <w:rPr>
          <w:rFonts w:ascii="Calibri" w:eastAsia="Calibri" w:hAnsi="Calibri" w:cs="Arial"/>
          <w:szCs w:val="18"/>
        </w:rPr>
        <w:t xml:space="preserve"> </w:t>
      </w:r>
      <w:r w:rsidRPr="008D6EF7">
        <w:rPr>
          <w:rFonts w:ascii="Calibri" w:eastAsia="Calibri" w:hAnsi="Calibri" w:cs="Arial"/>
          <w:szCs w:val="18"/>
        </w:rPr>
        <w:t>(Artigo 28(2))</w:t>
      </w:r>
    </w:p>
    <w:p w:rsidR="00BF75F8" w:rsidRPr="008D6EF7" w:rsidRDefault="00A95416" w:rsidP="00BF75F8">
      <w:pPr>
        <w:pStyle w:val="ProductList-Body"/>
        <w:spacing w:after="120"/>
        <w:ind w:left="158"/>
      </w:pPr>
      <w:r w:rsidRPr="008D6EF7">
        <w:rPr>
          <w:rFonts w:ascii="Calibri" w:eastAsia="Calibri" w:hAnsi="Calibri" w:cs="Arial"/>
          <w:b/>
          <w:szCs w:val="18"/>
        </w:rPr>
        <w:t>2.</w:t>
      </w:r>
      <w:r w:rsidRPr="008D6EF7">
        <w:rPr>
          <w:rFonts w:ascii="Calibri" w:eastAsia="Calibri" w:hAnsi="Calibri" w:cs="Arial"/>
          <w:szCs w:val="18"/>
        </w:rPr>
        <w:t xml:space="preserve"> O tratamento de dados por parte da Microsoft será regulado nestas Disposições do RGPD ao abrigo da legislação da União Europeia (daqui em diante, </w:t>
      </w:r>
      <w:r w:rsidR="00156B18" w:rsidRPr="008D6EF7">
        <w:rPr>
          <w:rFonts w:ascii="Calibri" w:eastAsia="Calibri" w:hAnsi="Calibri" w:cs="Arial"/>
          <w:szCs w:val="18"/>
        </w:rPr>
        <w:t>“</w:t>
      </w:r>
      <w:r w:rsidRPr="008D6EF7">
        <w:rPr>
          <w:rFonts w:ascii="Calibri" w:eastAsia="Calibri" w:hAnsi="Calibri" w:cs="Arial"/>
          <w:szCs w:val="18"/>
        </w:rPr>
        <w:t>União</w:t>
      </w:r>
      <w:r w:rsidR="00156B18" w:rsidRPr="008D6EF7">
        <w:rPr>
          <w:rFonts w:ascii="Calibri" w:eastAsia="Calibri" w:hAnsi="Calibri" w:cs="Arial"/>
          <w:szCs w:val="18"/>
        </w:rPr>
        <w:t>”</w:t>
      </w:r>
      <w:r w:rsidRPr="008D6EF7">
        <w:rPr>
          <w:rFonts w:ascii="Calibri" w:eastAsia="Calibri" w:hAnsi="Calibri" w:cs="Arial"/>
          <w:szCs w:val="18"/>
        </w:rPr>
        <w:t>)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em volume do Cliente, incluindo os presentes Termos do RGPD.</w:t>
      </w:r>
      <w:r w:rsidR="00156B18" w:rsidRPr="008D6EF7">
        <w:rPr>
          <w:rFonts w:ascii="Calibri" w:eastAsia="Calibri" w:hAnsi="Calibri" w:cs="Arial"/>
          <w:szCs w:val="18"/>
        </w:rPr>
        <w:t xml:space="preserve"> </w:t>
      </w:r>
      <w:r w:rsidRPr="008D6EF7">
        <w:rPr>
          <w:rFonts w:ascii="Calibri" w:eastAsia="Calibri" w:hAnsi="Calibri" w:cs="Arial"/>
          <w:szCs w:val="18"/>
        </w:rPr>
        <w:t xml:space="preserve">Designadamente, a Microsoft irá: </w:t>
      </w:r>
    </w:p>
    <w:p w:rsidR="00BF75F8" w:rsidRPr="008D6EF7" w:rsidRDefault="00A95416" w:rsidP="00BF75F8">
      <w:pPr>
        <w:pStyle w:val="ProductList-Body"/>
        <w:spacing w:after="120"/>
        <w:ind w:left="1440" w:hanging="720"/>
      </w:pPr>
      <w:r w:rsidRPr="008D6EF7">
        <w:rPr>
          <w:rFonts w:ascii="Calibri" w:eastAsia="Calibri" w:hAnsi="Calibri" w:cs="Arial"/>
          <w:b/>
          <w:szCs w:val="18"/>
        </w:rPr>
        <w:t>(a)</w:t>
      </w:r>
      <w:r w:rsidRPr="008D6EF7">
        <w:rPr>
          <w:rFonts w:ascii="Calibri" w:eastAsia="Calibri" w:hAnsi="Calibri" w:cs="Arial"/>
          <w:szCs w:val="18"/>
        </w:rPr>
        <w:tab/>
        <w:t>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w:t>
      </w:r>
      <w:r w:rsidR="00156B18" w:rsidRPr="008D6EF7">
        <w:rPr>
          <w:rFonts w:ascii="Calibri" w:eastAsia="Calibri" w:hAnsi="Calibri" w:cs="Arial"/>
          <w:szCs w:val="18"/>
        </w:rPr>
        <w:t xml:space="preserve"> </w:t>
      </w:r>
    </w:p>
    <w:p w:rsidR="00BF75F8" w:rsidRPr="008D6EF7" w:rsidRDefault="00A95416" w:rsidP="00BF75F8">
      <w:pPr>
        <w:pStyle w:val="ProductList-Body"/>
        <w:spacing w:after="120"/>
        <w:ind w:left="1440" w:hanging="720"/>
      </w:pPr>
      <w:r w:rsidRPr="008D6EF7">
        <w:rPr>
          <w:rFonts w:ascii="Calibri" w:eastAsia="Calibri" w:hAnsi="Calibri" w:cs="Arial"/>
          <w:b/>
          <w:szCs w:val="18"/>
        </w:rPr>
        <w:t>(b)</w:t>
      </w:r>
      <w:r w:rsidRPr="008D6EF7">
        <w:rPr>
          <w:rFonts w:ascii="Calibri" w:eastAsia="Calibri" w:hAnsi="Calibri" w:cs="Arial"/>
          <w:szCs w:val="18"/>
        </w:rPr>
        <w:tab/>
        <w:t xml:space="preserve">assegurar que as pessoas autorizadas a tratar os Dados Pessoais assumiram um compromisso de confidencialidade ou estão sujeitas a obrigações legais de confidencialidade adequadas; </w:t>
      </w:r>
    </w:p>
    <w:p w:rsidR="00BF75F8" w:rsidRPr="008D6EF7" w:rsidRDefault="00A95416" w:rsidP="00BF75F8">
      <w:pPr>
        <w:pStyle w:val="ProductList-Body"/>
        <w:spacing w:after="120"/>
        <w:ind w:left="720"/>
      </w:pPr>
      <w:r w:rsidRPr="008D6EF7">
        <w:rPr>
          <w:rFonts w:ascii="Calibri" w:eastAsia="Calibri" w:hAnsi="Calibri" w:cs="Arial"/>
          <w:b/>
          <w:szCs w:val="18"/>
        </w:rPr>
        <w:t>(c)</w:t>
      </w:r>
      <w:r w:rsidRPr="008D6EF7">
        <w:rPr>
          <w:rFonts w:ascii="Calibri" w:eastAsia="Calibri" w:hAnsi="Calibri" w:cs="Arial"/>
          <w:szCs w:val="18"/>
        </w:rPr>
        <w:tab/>
        <w:t>adotar todas as medidas exigidas nos termos do Artigo 32 do RGPD;</w:t>
      </w:r>
      <w:r w:rsidR="00156B18" w:rsidRPr="008D6EF7">
        <w:rPr>
          <w:rFonts w:ascii="Calibri" w:eastAsia="Calibri" w:hAnsi="Calibri" w:cs="Arial"/>
          <w:szCs w:val="18"/>
        </w:rPr>
        <w:t xml:space="preserve"> </w:t>
      </w:r>
    </w:p>
    <w:p w:rsidR="00BF75F8" w:rsidRPr="008D6EF7" w:rsidRDefault="00A95416" w:rsidP="00BF75F8">
      <w:pPr>
        <w:pStyle w:val="ProductList-Body"/>
        <w:spacing w:after="120"/>
        <w:ind w:left="720"/>
      </w:pPr>
      <w:r w:rsidRPr="008D6EF7">
        <w:rPr>
          <w:rFonts w:ascii="Calibri" w:eastAsia="Calibri" w:hAnsi="Calibri" w:cs="Arial"/>
          <w:b/>
          <w:szCs w:val="18"/>
        </w:rPr>
        <w:t>(d)</w:t>
      </w:r>
      <w:r w:rsidRPr="008D6EF7">
        <w:rPr>
          <w:rFonts w:ascii="Calibri" w:eastAsia="Calibri" w:hAnsi="Calibri" w:cs="Arial"/>
          <w:szCs w:val="18"/>
        </w:rPr>
        <w:tab/>
        <w:t xml:space="preserve">respeitar as condições a que se referem os parágrafos 1 e 3 para contratar outro subcontratante; </w:t>
      </w:r>
    </w:p>
    <w:p w:rsidR="00BF75F8" w:rsidRPr="008D6EF7" w:rsidRDefault="00A95416" w:rsidP="00BF75F8">
      <w:pPr>
        <w:pStyle w:val="ProductList-Body"/>
        <w:spacing w:after="120"/>
        <w:ind w:left="1440" w:hanging="720"/>
      </w:pPr>
      <w:r w:rsidRPr="008D6EF7">
        <w:rPr>
          <w:rFonts w:ascii="Calibri" w:eastAsia="Calibri" w:hAnsi="Calibri" w:cs="Arial"/>
          <w:b/>
          <w:szCs w:val="18"/>
        </w:rPr>
        <w:t>(e)</w:t>
      </w:r>
      <w:r w:rsidRPr="008D6EF7">
        <w:rPr>
          <w:rFonts w:ascii="Calibri" w:eastAsia="Calibri" w:hAnsi="Calibri" w:cs="Arial"/>
          <w:szCs w:val="18"/>
        </w:rPr>
        <w:tab/>
        <w:t>tendo em conta a natureza do tratamento e, na medida do possível, prestar assistência ao Cliente através de medidas técnicas e organizativas adequadas, para permitir que este cumpra a sua obrigação de dar resposta aos pedidos tendo em vista o exercício dos seus direitos previstos no Capítulo III do RGPD;</w:t>
      </w:r>
      <w:r w:rsidR="00156B18" w:rsidRPr="008D6EF7">
        <w:rPr>
          <w:rFonts w:ascii="Calibri" w:eastAsia="Calibri" w:hAnsi="Calibri" w:cs="Arial"/>
          <w:szCs w:val="18"/>
        </w:rPr>
        <w:t xml:space="preserve"> </w:t>
      </w:r>
    </w:p>
    <w:p w:rsidR="00BF75F8" w:rsidRPr="008D6EF7" w:rsidRDefault="00A95416" w:rsidP="00BF75F8">
      <w:pPr>
        <w:pStyle w:val="ProductList-Body"/>
        <w:spacing w:after="120"/>
        <w:ind w:left="1440" w:hanging="720"/>
      </w:pPr>
      <w:r w:rsidRPr="008D6EF7">
        <w:rPr>
          <w:rFonts w:ascii="Calibri" w:eastAsia="Calibri" w:hAnsi="Calibri" w:cs="Arial"/>
          <w:b/>
          <w:szCs w:val="18"/>
        </w:rPr>
        <w:t>(f)</w:t>
      </w:r>
      <w:r w:rsidRPr="008D6EF7">
        <w:rPr>
          <w:rFonts w:ascii="Calibri" w:eastAsia="Calibri" w:hAnsi="Calibri" w:cs="Arial"/>
          <w:szCs w:val="18"/>
        </w:rPr>
        <w:tab/>
        <w:t>prestar assistência ao Cliente no sentido de assegurar o cumprimento das obrigações previstas nos Artigos 32 a 36 do RGPD, tendo em conta a natureza do tratamento e a informação ao dispor da Microsoft;</w:t>
      </w:r>
    </w:p>
    <w:p w:rsidR="00BF75F8" w:rsidRPr="008D6EF7" w:rsidRDefault="00A95416" w:rsidP="00BF75F8">
      <w:pPr>
        <w:pStyle w:val="ProductList-Body"/>
        <w:spacing w:after="120"/>
        <w:ind w:left="1440" w:hanging="720"/>
      </w:pPr>
      <w:r w:rsidRPr="008D6EF7">
        <w:rPr>
          <w:rFonts w:ascii="Calibri" w:eastAsia="Calibri" w:hAnsi="Calibri" w:cs="Arial"/>
          <w:b/>
          <w:szCs w:val="18"/>
        </w:rPr>
        <w:t>(g)</w:t>
      </w:r>
      <w:r w:rsidRPr="008D6EF7">
        <w:rPr>
          <w:rFonts w:ascii="Calibri" w:eastAsia="Calibri" w:hAnsi="Calibri" w:cs="Arial"/>
          <w:szCs w:val="18"/>
        </w:rPr>
        <w:tab/>
        <w:t>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w:t>
      </w:r>
      <w:r w:rsidR="00156B18" w:rsidRPr="008D6EF7">
        <w:rPr>
          <w:rFonts w:ascii="Calibri" w:eastAsia="Calibri" w:hAnsi="Calibri" w:cs="Arial"/>
          <w:szCs w:val="18"/>
        </w:rPr>
        <w:t xml:space="preserve"> </w:t>
      </w:r>
    </w:p>
    <w:p w:rsidR="00BF75F8" w:rsidRPr="008D6EF7" w:rsidRDefault="00A95416" w:rsidP="00BF75F8">
      <w:pPr>
        <w:pStyle w:val="ProductList-Body"/>
        <w:spacing w:after="120"/>
        <w:ind w:left="1440" w:hanging="720"/>
      </w:pPr>
      <w:r w:rsidRPr="008D6EF7">
        <w:rPr>
          <w:rFonts w:ascii="Calibri" w:eastAsia="Calibri" w:hAnsi="Calibri" w:cs="Arial"/>
          <w:b/>
          <w:szCs w:val="18"/>
        </w:rPr>
        <w:t>(h)</w:t>
      </w:r>
      <w:r w:rsidRPr="008D6EF7">
        <w:rPr>
          <w:rFonts w:ascii="Calibri" w:eastAsia="Calibri" w:hAnsi="Calibri" w:cs="Arial"/>
          <w:szCs w:val="18"/>
        </w:rPr>
        <w:tab/>
        <w:t xml:space="preserve">disponibilizar ao Cliente todas as informações necessárias para demonstrar o cumprimento das obrigações previstas no Artigo 28 do RGPD, bem como facilitar e contribuir para as auditorias, inclusive as inspeções, conduzidas pelo Cliente ou por outro auditor por este mandatado. </w:t>
      </w:r>
    </w:p>
    <w:p w:rsidR="00BF75F8" w:rsidRPr="008D6EF7" w:rsidRDefault="00A95416" w:rsidP="00BF75F8">
      <w:pPr>
        <w:pStyle w:val="ProductList-Body"/>
        <w:spacing w:after="120"/>
        <w:ind w:left="158"/>
      </w:pPr>
      <w:r w:rsidRPr="008D6EF7">
        <w:rPr>
          <w:rFonts w:ascii="Calibri" w:eastAsia="Calibri" w:hAnsi="Calibri" w:cs="Arial"/>
          <w:szCs w:val="18"/>
        </w:rPr>
        <w:t>A Microsoft informará imediatamente o Cliente se, no seu entender, alguma instrução violar o RGPD ou outras disposições da União ou dos Estados-Membros em matéria de proteção de dados.</w:t>
      </w:r>
      <w:r w:rsidR="00156B18" w:rsidRPr="008D6EF7">
        <w:rPr>
          <w:rFonts w:ascii="Calibri" w:eastAsia="Calibri" w:hAnsi="Calibri" w:cs="Arial"/>
          <w:szCs w:val="18"/>
        </w:rPr>
        <w:t xml:space="preserve"> </w:t>
      </w:r>
      <w:r w:rsidRPr="008D6EF7">
        <w:rPr>
          <w:rFonts w:ascii="Calibri" w:eastAsia="Calibri" w:hAnsi="Calibri" w:cs="Arial"/>
          <w:szCs w:val="18"/>
        </w:rPr>
        <w:t>(Artigo 28(3))</w:t>
      </w:r>
    </w:p>
    <w:p w:rsidR="00BF75F8" w:rsidRPr="008D6EF7" w:rsidRDefault="00A95416" w:rsidP="00BF75F8">
      <w:pPr>
        <w:pStyle w:val="ProductList-Body"/>
        <w:spacing w:after="120"/>
        <w:ind w:left="158"/>
      </w:pPr>
      <w:r w:rsidRPr="008D6EF7">
        <w:rPr>
          <w:rFonts w:ascii="Calibri" w:eastAsia="Calibri" w:hAnsi="Calibri" w:cs="Arial"/>
          <w:b/>
          <w:szCs w:val="18"/>
        </w:rPr>
        <w:t>3.</w:t>
      </w:r>
      <w:r w:rsidRPr="008D6EF7">
        <w:rPr>
          <w:rFonts w:ascii="Calibri" w:eastAsia="Calibri" w:hAnsi="Calibri" w:cs="Arial"/>
          <w:szCs w:val="18"/>
        </w:rPr>
        <w:t xml:space="preserve"> Se a Microsoft contratar outro subcontratante para a realização de operações específicas de tratamento de dados por conta do Cliente, serão impostas a esse outro subcontratante, por contrato ou outro ato normativo ao abrigo do direito da União ou dos Estados-Membros, as mesmas obrigações em matéria de proteção de dados que as estabelecidas nas Disposições do RGPD, em particular a obrigação de apresentar garantias suficientes de execução de medidas técnicas e organizativas adequadas de uma forma que o tratamento seja conforme com os requisitos do RGPD.</w:t>
      </w:r>
      <w:r w:rsidR="00156B18" w:rsidRPr="008D6EF7">
        <w:rPr>
          <w:rFonts w:ascii="Calibri" w:eastAsia="Calibri" w:hAnsi="Calibri" w:cs="Arial"/>
          <w:szCs w:val="18"/>
        </w:rPr>
        <w:t xml:space="preserve"> </w:t>
      </w:r>
      <w:r w:rsidRPr="008D6EF7">
        <w:rPr>
          <w:rFonts w:ascii="Calibri" w:eastAsia="Calibri" w:hAnsi="Calibri" w:cs="Arial"/>
          <w:szCs w:val="18"/>
        </w:rPr>
        <w:t>Se esse outro subcontratante não cumprir as suas obrigações em matéria de proteção de dados, a Microsoft continua a ser plenamente responsável, perante o Cliente, pelo cumprimento das obrigações desse outro subcontratante.</w:t>
      </w:r>
      <w:r w:rsidR="00156B18" w:rsidRPr="008D6EF7">
        <w:rPr>
          <w:rFonts w:ascii="Calibri" w:eastAsia="Calibri" w:hAnsi="Calibri" w:cs="Arial"/>
          <w:szCs w:val="18"/>
        </w:rPr>
        <w:t xml:space="preserve"> </w:t>
      </w:r>
      <w:r w:rsidRPr="008D6EF7">
        <w:rPr>
          <w:rFonts w:ascii="Calibri" w:eastAsia="Calibri" w:hAnsi="Calibri" w:cs="Arial"/>
          <w:szCs w:val="18"/>
        </w:rPr>
        <w:t>(Artigo 28(4))</w:t>
      </w:r>
    </w:p>
    <w:p w:rsidR="00BF75F8" w:rsidRPr="008D6EF7" w:rsidRDefault="00A95416" w:rsidP="00BF75F8">
      <w:pPr>
        <w:pStyle w:val="ProductList-Body"/>
        <w:spacing w:after="120"/>
        <w:ind w:left="158"/>
      </w:pPr>
      <w:r w:rsidRPr="008D6EF7">
        <w:rPr>
          <w:rFonts w:ascii="Calibri" w:eastAsia="Calibri" w:hAnsi="Calibri" w:cs="Arial"/>
          <w:b/>
          <w:szCs w:val="18"/>
        </w:rPr>
        <w:t>4.</w:t>
      </w:r>
      <w:r w:rsidRPr="008D6EF7">
        <w:rPr>
          <w:rFonts w:ascii="Calibri" w:eastAsia="Calibri" w:hAnsi="Calibri" w:cs="Arial"/>
          <w:szCs w:val="18"/>
        </w:rP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rsidR="00BF75F8" w:rsidRPr="008D6EF7" w:rsidRDefault="00A95416" w:rsidP="00BF75F8">
      <w:pPr>
        <w:pStyle w:val="ProductList-Body"/>
        <w:spacing w:after="120"/>
        <w:ind w:left="720"/>
        <w:rPr>
          <w:rFonts w:cstheme="minorHAnsi"/>
          <w:szCs w:val="18"/>
        </w:rPr>
      </w:pPr>
      <w:r w:rsidRPr="008D6EF7">
        <w:rPr>
          <w:rFonts w:ascii="Calibri" w:eastAsia="Calibri" w:hAnsi="Calibri" w:cs="Calibri"/>
          <w:b/>
          <w:szCs w:val="18"/>
        </w:rPr>
        <w:lastRenderedPageBreak/>
        <w:t>(a)</w:t>
      </w:r>
      <w:r w:rsidRPr="008D6EF7">
        <w:rPr>
          <w:rFonts w:ascii="Calibri" w:eastAsia="Calibri" w:hAnsi="Calibri" w:cs="Calibri"/>
          <w:szCs w:val="18"/>
        </w:rPr>
        <w:tab/>
        <w:t xml:space="preserve">a pseudonimização e a encriptação dos dados pessoais; </w:t>
      </w:r>
    </w:p>
    <w:p w:rsidR="00BF75F8" w:rsidRPr="008D6EF7" w:rsidRDefault="00A95416" w:rsidP="00BF75F8">
      <w:pPr>
        <w:pStyle w:val="ProductList-Body"/>
        <w:spacing w:after="120"/>
        <w:ind w:left="720"/>
        <w:rPr>
          <w:rFonts w:cstheme="minorHAnsi"/>
          <w:szCs w:val="18"/>
        </w:rPr>
      </w:pPr>
      <w:r w:rsidRPr="008D6EF7">
        <w:rPr>
          <w:rFonts w:ascii="Calibri" w:eastAsia="Calibri" w:hAnsi="Calibri" w:cs="Calibri"/>
          <w:b/>
          <w:szCs w:val="18"/>
        </w:rPr>
        <w:t>(b)</w:t>
      </w:r>
      <w:r w:rsidRPr="008D6EF7">
        <w:rPr>
          <w:rFonts w:ascii="Calibri" w:eastAsia="Calibri" w:hAnsi="Calibri" w:cs="Calibri"/>
          <w:szCs w:val="18"/>
        </w:rPr>
        <w:tab/>
        <w:t xml:space="preserve">a capacidade de assegurar a confidencialidade, integridade, disponibilidade e resiliência permanentes dos sistemas e dos serviços de tratamento; </w:t>
      </w:r>
    </w:p>
    <w:p w:rsidR="00BF75F8" w:rsidRPr="008D6EF7" w:rsidRDefault="00A95416" w:rsidP="00BF75F8">
      <w:pPr>
        <w:pStyle w:val="ProductList-Body"/>
        <w:spacing w:after="120"/>
        <w:ind w:left="1440" w:hanging="720"/>
        <w:rPr>
          <w:rFonts w:cstheme="minorHAnsi"/>
          <w:szCs w:val="18"/>
        </w:rPr>
      </w:pPr>
      <w:r w:rsidRPr="008D6EF7">
        <w:rPr>
          <w:rFonts w:ascii="Calibri" w:eastAsia="Calibri" w:hAnsi="Calibri" w:cs="Calibri"/>
          <w:b/>
          <w:szCs w:val="18"/>
        </w:rPr>
        <w:t>(c)</w:t>
      </w:r>
      <w:r w:rsidRPr="008D6EF7">
        <w:rPr>
          <w:rFonts w:ascii="Calibri" w:eastAsia="Calibri" w:hAnsi="Calibri" w:cs="Calibri"/>
          <w:szCs w:val="18"/>
        </w:rPr>
        <w:tab/>
        <w:t>a capacidade de restabelecer a disponibilidade e o acesso aos Dados Pessoais de forma atempada no caso de um incidente físico ou técnico; e</w:t>
      </w:r>
    </w:p>
    <w:p w:rsidR="00BF75F8" w:rsidRPr="008D6EF7" w:rsidRDefault="00A95416" w:rsidP="00BF75F8">
      <w:pPr>
        <w:pStyle w:val="ProductList-Body"/>
        <w:spacing w:after="120"/>
        <w:ind w:left="1440" w:hanging="720"/>
        <w:rPr>
          <w:rFonts w:cstheme="minorHAnsi"/>
          <w:szCs w:val="18"/>
        </w:rPr>
      </w:pPr>
      <w:r w:rsidRPr="008D6EF7">
        <w:rPr>
          <w:rFonts w:ascii="Calibri" w:eastAsia="Calibri" w:hAnsi="Calibri" w:cs="Calibri"/>
          <w:b/>
          <w:szCs w:val="18"/>
        </w:rPr>
        <w:t>(d)</w:t>
      </w:r>
      <w:r w:rsidRPr="008D6EF7">
        <w:rPr>
          <w:rFonts w:ascii="Calibri" w:eastAsia="Calibri" w:hAnsi="Calibri" w:cs="Calibri"/>
          <w:szCs w:val="18"/>
        </w:rPr>
        <w:tab/>
        <w:t>um processo para testar, apreciar e avaliar regularmente a eficácia das medidas técnicas e organizativas para garantir a segurança do tratamento.</w:t>
      </w:r>
      <w:r w:rsidR="00156B18" w:rsidRPr="008D6EF7">
        <w:rPr>
          <w:rFonts w:ascii="Calibri" w:eastAsia="Calibri" w:hAnsi="Calibri" w:cs="Calibri"/>
          <w:szCs w:val="18"/>
        </w:rPr>
        <w:t xml:space="preserve"> </w:t>
      </w:r>
      <w:r w:rsidRPr="008D6EF7">
        <w:rPr>
          <w:rFonts w:ascii="Calibri" w:eastAsia="Calibri" w:hAnsi="Calibri" w:cs="Calibri"/>
          <w:szCs w:val="18"/>
        </w:rPr>
        <w:t>(Artigo 32(1))</w:t>
      </w:r>
    </w:p>
    <w:p w:rsidR="00BF75F8" w:rsidRPr="008D6EF7" w:rsidRDefault="00A95416" w:rsidP="00BF75F8">
      <w:pPr>
        <w:pStyle w:val="ProductList-Body"/>
        <w:spacing w:after="120"/>
        <w:ind w:left="158"/>
      </w:pPr>
      <w:r w:rsidRPr="008D6EF7">
        <w:rPr>
          <w:rFonts w:ascii="Calibri" w:eastAsia="Calibri" w:hAnsi="Calibri" w:cs="Arial"/>
          <w:b/>
          <w:szCs w:val="18"/>
        </w:rPr>
        <w:t>5.</w:t>
      </w:r>
      <w:r w:rsidRPr="008D6EF7">
        <w:rPr>
          <w:rFonts w:ascii="Calibri" w:eastAsia="Calibri" w:hAnsi="Calibri" w:cs="Arial"/>
          <w:szCs w:val="18"/>
        </w:rPr>
        <w:t xml:space="preserve"> Ao avaliar o nível de segurança adequado, devem ser tidos em conta, designadamente, os riscos apresentados pelo tratamento, em particular devido à destruição acidental ou ilícita, perda, alteração, divulgação ou acesso não autorizados, de Dados Pessoais transmitidos, conservados ou sujeitos a qualquer outro tipo de tratamento.</w:t>
      </w:r>
      <w:r w:rsidR="00156B18" w:rsidRPr="008D6EF7">
        <w:rPr>
          <w:rFonts w:ascii="Calibri" w:eastAsia="Calibri" w:hAnsi="Calibri" w:cs="Arial"/>
          <w:szCs w:val="18"/>
        </w:rPr>
        <w:t xml:space="preserve"> </w:t>
      </w:r>
      <w:r w:rsidRPr="008D6EF7">
        <w:rPr>
          <w:rFonts w:ascii="Calibri" w:eastAsia="Calibri" w:hAnsi="Calibri" w:cs="Arial"/>
          <w:szCs w:val="18"/>
        </w:rPr>
        <w:t>(Artigo 32(2))</w:t>
      </w:r>
    </w:p>
    <w:p w:rsidR="00BF75F8" w:rsidRPr="008D6EF7" w:rsidRDefault="00A95416" w:rsidP="00BF75F8">
      <w:pPr>
        <w:pStyle w:val="ProductList-Body"/>
        <w:spacing w:after="120"/>
        <w:ind w:left="158"/>
      </w:pPr>
      <w:r w:rsidRPr="008D6EF7">
        <w:rPr>
          <w:rFonts w:ascii="Calibri" w:eastAsia="Calibri" w:hAnsi="Calibri" w:cs="Arial"/>
          <w:b/>
          <w:szCs w:val="18"/>
        </w:rPr>
        <w:t>6.</w:t>
      </w:r>
      <w:r w:rsidRPr="008D6EF7">
        <w:rPr>
          <w:rFonts w:ascii="Calibri" w:eastAsia="Calibri" w:hAnsi="Calibri" w:cs="Arial"/>
          <w:szCs w:val="18"/>
        </w:rP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w:t>
      </w:r>
      <w:r w:rsidR="00156B18" w:rsidRPr="008D6EF7">
        <w:rPr>
          <w:rFonts w:ascii="Calibri" w:eastAsia="Calibri" w:hAnsi="Calibri" w:cs="Arial"/>
          <w:szCs w:val="18"/>
        </w:rPr>
        <w:t xml:space="preserve"> </w:t>
      </w:r>
      <w:r w:rsidRPr="008D6EF7">
        <w:rPr>
          <w:rFonts w:ascii="Calibri" w:eastAsia="Calibri" w:hAnsi="Calibri" w:cs="Arial"/>
          <w:szCs w:val="18"/>
        </w:rPr>
        <w:t>(Artigo 32(4))</w:t>
      </w:r>
    </w:p>
    <w:p w:rsidR="00BF75F8" w:rsidRPr="008D6EF7" w:rsidRDefault="00A95416" w:rsidP="00287246">
      <w:pPr>
        <w:pStyle w:val="ProductList-Body"/>
        <w:spacing w:after="120"/>
        <w:ind w:left="158"/>
      </w:pPr>
      <w:r w:rsidRPr="008D6EF7">
        <w:rPr>
          <w:rFonts w:ascii="Calibri" w:eastAsia="Calibri" w:hAnsi="Calibri" w:cs="Arial"/>
          <w:b/>
          <w:szCs w:val="18"/>
        </w:rPr>
        <w:t>7.</w:t>
      </w:r>
      <w:r w:rsidRPr="008D6EF7">
        <w:rPr>
          <w:rFonts w:ascii="Calibri" w:eastAsia="Calibri" w:hAnsi="Calibri" w:cs="Arial"/>
          <w:szCs w:val="18"/>
        </w:rPr>
        <w:t xml:space="preserve"> A Microsoft deve notificar o Cliente sem demora injustificada após ter tido conhecimento de uma violação de dados pessoais. (Artigo 33(2). Esta notificação incluirá as informações que um subcontratante deve fornecer a um responsável pelo tratamento como previstas no Artigo 33(3), quando tais informações possam razoavelmente ser do conhecimento da Microsoft. </w:t>
      </w:r>
    </w:p>
    <w:p w:rsidR="00C56F4A" w:rsidRPr="008D6EF7" w:rsidRDefault="00C56F4A" w:rsidP="00B0434E">
      <w:pPr>
        <w:pStyle w:val="ProductList-Body"/>
      </w:pPr>
    </w:p>
    <w:sectPr w:rsidR="00C56F4A" w:rsidRPr="008D6EF7" w:rsidSect="00087C06">
      <w:footerReference w:type="default" r:id="rId17"/>
      <w:footerReference w:type="first" r:id="rId18"/>
      <w:pgSz w:w="12240" w:h="15840"/>
      <w:pgMar w:top="720" w:right="720" w:bottom="720" w:left="720" w:header="720" w:footer="3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2ADC" w:rsidRDefault="00372ADC">
      <w:pPr>
        <w:spacing w:after="0" w:line="240" w:lineRule="auto"/>
      </w:pPr>
      <w:r>
        <w:separator/>
      </w:r>
    </w:p>
  </w:endnote>
  <w:endnote w:type="continuationSeparator" w:id="0">
    <w:p w:rsidR="00372ADC" w:rsidRDefault="00372A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4E5E" w:rsidRDefault="00254E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ADC" w:rsidRDefault="00372ADC" w:rsidP="00F2558F">
    <w:pPr>
      <w:pStyle w:val="ProductList-Body"/>
    </w:pPr>
    <w:r>
      <w:rPr>
        <w:noProof/>
        <w:lang w:val="en-US"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372ADC" w:rsidRPr="00B0434E" w:rsidRDefault="00372ADC" w:rsidP="00B0434E">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" o:allowincell="f" filled="f" stroked="f" strokeweight=".5pt">
              <v:path arrowok="t"/>
              <v:textbox inset="20pt,0,,0">
                <w:txbxContent>
                  <w:p w:rsidR="00372ADC" w:rsidRPr="00B0434E" w:rsidRDefault="00372ADC" w:rsidP="00B0434E">
                    <w:pPr>
                      <w:spacing w:after="0"/>
                      <w:rPr>
                        <w:rFonts w:ascii="Calibri" w:hAnsi="Calibri" w:cs="Calibri"/>
                        <w:color w:val="000000"/>
                        <w:sz w:val="20"/>
                      </w:rPr>
                    </w:pPr>
                  </w:p>
                </w:txbxContent>
              </v:textbox>
              <w10:wrap anchorx="page" anchory="page"/>
            </v:shape>
          </w:pict>
        </mc:Fallback>
      </mc:AlternateContent>
    </w:r>
    <w:r>
      <w:rPr>
        <w:noProof/>
        <w:lang w:val="en-US" w:eastAsia="zh-TW"/>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634250"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ADC" w:rsidRPr="00087C06" w:rsidRDefault="00372ADC" w:rsidP="005723CA">
    <w:pPr>
      <w:spacing w:after="0"/>
      <w:rPr>
        <w:rFonts w:ascii="Calibri" w:hAnsi="Calibri" w:cs="Calibri"/>
        <w:color w:val="000000"/>
        <w:sz w:val="20"/>
      </w:rPr>
    </w:pPr>
  </w:p>
  <w:p w:rsidR="00372ADC" w:rsidRPr="00087C06" w:rsidRDefault="00372ADC">
    <w:pPr>
      <w:pStyle w:val="Footer"/>
      <w:rPr>
        <w:sz w:val="14"/>
        <w:szCs w:val="14"/>
      </w:rPr>
    </w:pPr>
    <w:r>
      <w:rPr>
        <w:noProof/>
        <w:lang w:val="en-US" w:eastAsia="ja-JP"/>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372ADC" w:rsidRPr="00156B18" w:rsidRDefault="00372ADC" w:rsidP="005723CA">
                          <w:pPr>
                            <w:spacing w:after="0"/>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" o:allowincell="f" filled="f" stroked="f" strokeweight=".5pt">
              <v:path arrowok="t"/>
              <v:textbox inset="20pt,0,,0">
                <w:txbxContent>
                  <w:p w:rsidR="00372ADC" w:rsidRPr="00156B18" w:rsidRDefault="00372ADC" w:rsidP="005723CA">
                    <w:pPr>
                      <w:spacing w:after="0"/>
                    </w:pPr>
                  </w:p>
                </w:txbxContent>
              </v:textbox>
              <w10:wrap anchorx="page" anchory="page"/>
            </v:shape>
          </w:pict>
        </mc:Fallback>
      </mc:AlternateContent>
    </w:r>
    <w:r w:rsidRPr="00087C06">
      <w:rPr>
        <w:noProof/>
        <w:lang w:val="en-US" w:eastAsia="zh-TW"/>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362950"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ADC" w:rsidRPr="002233DF" w:rsidRDefault="00B15BBB" w:rsidP="008530A8">
    <w:pPr>
      <w:pStyle w:val="ProductList-Body"/>
      <w:tabs>
        <w:tab w:val="right" w:pos="10800"/>
      </w:tabs>
      <w:spacing w:before="20" w:after="20"/>
      <w:rPr>
        <w:noProof/>
        <w:color w:val="404040" w:themeColor="text1" w:themeTint="BF"/>
        <w:sz w:val="16"/>
        <w:szCs w:val="16"/>
        <w:lang w:val="en-GB"/>
      </w:rPr>
    </w:pPr>
    <w:sdt>
      <w:sdtPr>
        <w:id w:val="1625030023"/>
        <w:docPartObj>
          <w:docPartGallery w:val="Page Numbers (Top of Page)"/>
          <w:docPartUnique/>
        </w:docPartObj>
      </w:sdtPr>
      <w:sdtEndPr>
        <w:rPr>
          <w:noProof/>
          <w:color w:val="404040" w:themeColor="text1" w:themeTint="BF"/>
          <w:sz w:val="16"/>
          <w:szCs w:val="16"/>
        </w:rPr>
      </w:sdtEndPr>
      <w:sdtContent>
        <w:r w:rsidR="00372ADC" w:rsidRPr="002233DF">
          <w:rPr>
            <w:color w:val="404040" w:themeColor="text1" w:themeTint="BF"/>
            <w:sz w:val="16"/>
            <w:szCs w:val="16"/>
            <w:lang w:val="en-GB"/>
          </w:rPr>
          <w:t xml:space="preserve">Microsoft Professional Services Data Protection Addendum (Worldwide </w:t>
        </w:r>
        <w:r w:rsidR="00372ADC">
          <w:rPr>
            <w:color w:val="404040" w:themeColor="text1" w:themeTint="BF"/>
            <w:sz w:val="16"/>
            <w:szCs w:val="16"/>
            <w:lang w:val="en-GB"/>
          </w:rPr>
          <w:t>Portuguese</w:t>
        </w:r>
        <w:r w:rsidR="00A368FD">
          <w:rPr>
            <w:color w:val="404040" w:themeColor="text1" w:themeTint="BF"/>
            <w:sz w:val="16"/>
            <w:szCs w:val="16"/>
            <w:lang w:val="en-GB"/>
          </w:rPr>
          <w:t xml:space="preserve"> January</w:t>
        </w:r>
        <w:r w:rsidR="00372ADC" w:rsidRPr="002233DF">
          <w:rPr>
            <w:color w:val="404040" w:themeColor="text1" w:themeTint="BF"/>
            <w:sz w:val="16"/>
            <w:szCs w:val="16"/>
            <w:lang w:val="en-GB"/>
          </w:rPr>
          <w:t xml:space="preserve"> 201</w:t>
        </w:r>
        <w:r w:rsidR="00A368FD">
          <w:rPr>
            <w:color w:val="404040" w:themeColor="text1" w:themeTint="BF"/>
            <w:sz w:val="16"/>
            <w:szCs w:val="16"/>
            <w:lang w:val="en-GB"/>
          </w:rPr>
          <w:t>9</w:t>
        </w:r>
        <w:r w:rsidR="00372ADC" w:rsidRPr="002233DF">
          <w:rPr>
            <w:color w:val="404040" w:themeColor="text1" w:themeTint="BF"/>
            <w:sz w:val="16"/>
            <w:szCs w:val="16"/>
            <w:lang w:val="en-GB"/>
          </w:rPr>
          <w:t>)</w:t>
        </w:r>
        <w:r w:rsidR="00372ADC" w:rsidRPr="002233DF">
          <w:rPr>
            <w:color w:val="404040" w:themeColor="text1" w:themeTint="BF"/>
            <w:sz w:val="16"/>
            <w:szCs w:val="16"/>
            <w:lang w:val="en-GB"/>
          </w:rPr>
          <w:tab/>
        </w:r>
        <w:r w:rsidR="00372ADC" w:rsidRPr="00156B18">
          <w:rPr>
            <w:color w:val="404040" w:themeColor="text1" w:themeTint="BF"/>
            <w:sz w:val="16"/>
            <w:szCs w:val="16"/>
          </w:rPr>
          <w:fldChar w:fldCharType="begin"/>
        </w:r>
        <w:r w:rsidR="00372ADC" w:rsidRPr="002233DF">
          <w:rPr>
            <w:color w:val="404040" w:themeColor="text1" w:themeTint="BF"/>
            <w:sz w:val="16"/>
            <w:szCs w:val="16"/>
            <w:lang w:val="en-GB"/>
          </w:rPr>
          <w:instrText xml:space="preserve"> PAGE   \* MERGEFORMAT </w:instrText>
        </w:r>
        <w:r w:rsidR="00372ADC" w:rsidRPr="00156B18">
          <w:rPr>
            <w:color w:val="404040" w:themeColor="text1" w:themeTint="BF"/>
            <w:sz w:val="16"/>
            <w:szCs w:val="16"/>
          </w:rPr>
          <w:fldChar w:fldCharType="separate"/>
        </w:r>
        <w:r w:rsidR="00372ADC">
          <w:rPr>
            <w:noProof/>
            <w:color w:val="404040" w:themeColor="text1" w:themeTint="BF"/>
            <w:sz w:val="16"/>
            <w:szCs w:val="16"/>
            <w:lang w:val="en-GB"/>
          </w:rPr>
          <w:t>5</w:t>
        </w:r>
        <w:r w:rsidR="00372ADC" w:rsidRPr="00156B18">
          <w:rPr>
            <w:noProof/>
            <w:color w:val="404040" w:themeColor="text1" w:themeTint="BF"/>
            <w:sz w:val="16"/>
            <w:szCs w:val="16"/>
          </w:rPr>
          <w:fldChar w:fldCharType="end"/>
        </w:r>
      </w:sdtContent>
    </w:sdt>
  </w:p>
  <w:p w:rsidR="00372ADC" w:rsidRDefault="00372ADC" w:rsidP="00087C06">
    <w:pPr>
      <w:spacing w:after="0"/>
      <w:rPr>
        <w:rFonts w:ascii="Calibri" w:hAnsi="Calibri" w:cs="Calibri"/>
        <w:color w:val="000000"/>
        <w:sz w:val="20"/>
      </w:rPr>
    </w:pPr>
  </w:p>
  <w:p w:rsidR="00372ADC" w:rsidRPr="00087C06" w:rsidRDefault="00372ADC" w:rsidP="00087C06">
    <w:pPr>
      <w:spacing w:after="0"/>
      <w:ind w:left="-360"/>
      <w:rPr>
        <w:rFonts w:ascii="Calibri" w:hAnsi="Calibri" w:cs="Calibri"/>
        <w:color w:val="000000"/>
        <w:sz w:val="20"/>
      </w:rPr>
    </w:pPr>
    <w:r w:rsidRPr="00087C06">
      <w:rPr>
        <w:rFonts w:ascii="Calibri" w:hAnsi="Calibri" w:cs="Calibri"/>
        <w:color w:val="000000"/>
        <w:sz w:val="20"/>
      </w:rPr>
      <w:t>Classified as Microsoft Confidential</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ADC" w:rsidRPr="002233DF" w:rsidRDefault="00B15BBB" w:rsidP="008530A8">
    <w:pPr>
      <w:pStyle w:val="ProductList-Body"/>
      <w:tabs>
        <w:tab w:val="right" w:pos="10800"/>
      </w:tabs>
      <w:spacing w:before="20" w:after="20"/>
      <w:ind w:left="-14" w:right="-101"/>
      <w:rPr>
        <w:color w:val="404040" w:themeColor="text1" w:themeTint="BF"/>
        <w:sz w:val="16"/>
        <w:szCs w:val="16"/>
        <w:lang w:val="en-GB"/>
      </w:rPr>
    </w:pPr>
    <w:sdt>
      <w:sdtPr>
        <w:id w:val="-1825123614"/>
        <w:docPartObj>
          <w:docPartGallery w:val="Page Numbers (Top of Page)"/>
          <w:docPartUnique/>
        </w:docPartObj>
      </w:sdtPr>
      <w:sdtEndPr>
        <w:rPr>
          <w:noProof/>
          <w:color w:val="404040" w:themeColor="text1" w:themeTint="BF"/>
          <w:sz w:val="16"/>
          <w:szCs w:val="16"/>
        </w:rPr>
      </w:sdtEndPr>
      <w:sdtContent>
        <w:r w:rsidR="00372ADC" w:rsidRPr="002233DF">
          <w:rPr>
            <w:color w:val="404040" w:themeColor="text1" w:themeTint="BF"/>
            <w:sz w:val="16"/>
            <w:szCs w:val="16"/>
            <w:lang w:val="en-GB"/>
          </w:rPr>
          <w:t xml:space="preserve">Microsoft Professional Services Data Protection Addendum (Worldwide </w:t>
        </w:r>
        <w:r w:rsidR="00372ADC">
          <w:rPr>
            <w:color w:val="404040" w:themeColor="text1" w:themeTint="BF"/>
            <w:sz w:val="16"/>
            <w:szCs w:val="16"/>
            <w:lang w:val="en-GB"/>
          </w:rPr>
          <w:t>Portuguese (Portugal)</w:t>
        </w:r>
        <w:r w:rsidR="00372ADC" w:rsidRPr="002233DF">
          <w:rPr>
            <w:color w:val="404040" w:themeColor="text1" w:themeTint="BF"/>
            <w:sz w:val="16"/>
            <w:szCs w:val="16"/>
            <w:lang w:val="en-GB"/>
          </w:rPr>
          <w:t xml:space="preserve">, </w:t>
        </w:r>
        <w:r w:rsidR="008D6EF7">
          <w:rPr>
            <w:color w:val="404040" w:themeColor="text1" w:themeTint="BF"/>
            <w:sz w:val="16"/>
            <w:szCs w:val="16"/>
            <w:lang w:val="en-GB"/>
          </w:rPr>
          <w:t xml:space="preserve">January </w:t>
        </w:r>
        <w:r w:rsidR="00372ADC" w:rsidRPr="002233DF">
          <w:rPr>
            <w:color w:val="404040" w:themeColor="text1" w:themeTint="BF"/>
            <w:sz w:val="16"/>
            <w:szCs w:val="16"/>
            <w:lang w:val="en-GB"/>
          </w:rPr>
          <w:t>201</w:t>
        </w:r>
        <w:r w:rsidR="008D6EF7">
          <w:rPr>
            <w:color w:val="404040" w:themeColor="text1" w:themeTint="BF"/>
            <w:sz w:val="16"/>
            <w:szCs w:val="16"/>
            <w:lang w:val="en-GB"/>
          </w:rPr>
          <w:t>9</w:t>
        </w:r>
        <w:r w:rsidR="00372ADC" w:rsidRPr="002233DF">
          <w:rPr>
            <w:color w:val="404040" w:themeColor="text1" w:themeTint="BF"/>
            <w:sz w:val="16"/>
            <w:szCs w:val="16"/>
            <w:lang w:val="en-GB"/>
          </w:rPr>
          <w:t>)</w:t>
        </w:r>
        <w:r w:rsidR="00372ADC" w:rsidRPr="002233DF">
          <w:rPr>
            <w:color w:val="404040" w:themeColor="text1" w:themeTint="BF"/>
            <w:sz w:val="16"/>
            <w:szCs w:val="16"/>
            <w:lang w:val="en-GB"/>
          </w:rPr>
          <w:tab/>
        </w:r>
        <w:r w:rsidR="00372ADC" w:rsidRPr="00156B18">
          <w:rPr>
            <w:color w:val="404040" w:themeColor="text1" w:themeTint="BF"/>
            <w:sz w:val="16"/>
            <w:szCs w:val="16"/>
          </w:rPr>
          <w:fldChar w:fldCharType="begin"/>
        </w:r>
        <w:r w:rsidR="00372ADC" w:rsidRPr="002233DF">
          <w:rPr>
            <w:color w:val="404040" w:themeColor="text1" w:themeTint="BF"/>
            <w:sz w:val="16"/>
            <w:szCs w:val="16"/>
            <w:lang w:val="en-GB"/>
          </w:rPr>
          <w:instrText xml:space="preserve"> PAGE   \* MERGEFORMAT </w:instrText>
        </w:r>
        <w:r w:rsidR="00372ADC" w:rsidRPr="00156B18">
          <w:rPr>
            <w:color w:val="404040" w:themeColor="text1" w:themeTint="BF"/>
            <w:sz w:val="16"/>
            <w:szCs w:val="16"/>
          </w:rPr>
          <w:fldChar w:fldCharType="separate"/>
        </w:r>
        <w:r w:rsidR="00372ADC">
          <w:rPr>
            <w:noProof/>
            <w:color w:val="404040" w:themeColor="text1" w:themeTint="BF"/>
            <w:sz w:val="16"/>
            <w:szCs w:val="16"/>
            <w:lang w:val="en-GB"/>
          </w:rPr>
          <w:t>2</w:t>
        </w:r>
        <w:r w:rsidR="00372ADC" w:rsidRPr="00156B18">
          <w:rPr>
            <w:noProof/>
            <w:color w:val="404040" w:themeColor="text1" w:themeTint="BF"/>
            <w:sz w:val="16"/>
            <w:szCs w:val="16"/>
          </w:rPr>
          <w:fldChar w:fldCharType="end"/>
        </w:r>
      </w:sdtContent>
    </w:sdt>
  </w:p>
  <w:p w:rsidR="00372ADC" w:rsidRDefault="00372ADC" w:rsidP="00087C06">
    <w:pPr>
      <w:spacing w:after="0"/>
      <w:rPr>
        <w:rFonts w:ascii="Calibri" w:hAnsi="Calibri" w:cs="Calibri"/>
        <w:color w:val="000000"/>
        <w:sz w:val="20"/>
      </w:rPr>
    </w:pPr>
  </w:p>
  <w:p w:rsidR="00372ADC" w:rsidRPr="00087C06" w:rsidRDefault="00372ADC" w:rsidP="00087C06">
    <w:pPr>
      <w:spacing w:after="0"/>
      <w:ind w:left="-360"/>
      <w:rPr>
        <w:rFonts w:ascii="Calibri" w:hAnsi="Calibri" w:cs="Calibri"/>
        <w:color w:val="000000"/>
        <w:sz w:val="20"/>
      </w:rPr>
    </w:pPr>
    <w:r w:rsidRPr="00087C06">
      <w:rPr>
        <w:rFonts w:ascii="Calibri" w:hAnsi="Calibri" w:cs="Calibri"/>
        <w:color w:val="000000"/>
        <w:sz w:val="20"/>
      </w:rPr>
      <w:t>Classified as Microsoft Confidential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2ADC" w:rsidRDefault="00372ADC">
      <w:pPr>
        <w:spacing w:after="0" w:line="240" w:lineRule="auto"/>
      </w:pPr>
      <w:r>
        <w:separator/>
      </w:r>
    </w:p>
  </w:footnote>
  <w:footnote w:type="continuationSeparator" w:id="0">
    <w:p w:rsidR="00372ADC" w:rsidRDefault="00372A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4E5E" w:rsidRDefault="00254E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4E5E" w:rsidRDefault="00254E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ADC" w:rsidRPr="004D27A6" w:rsidRDefault="00372ADC"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CB2E3236">
      <w:start w:val="1"/>
      <w:numFmt w:val="bullet"/>
      <w:lvlText w:val=""/>
      <w:lvlJc w:val="left"/>
      <w:pPr>
        <w:ind w:left="720" w:hanging="360"/>
      </w:pPr>
      <w:rPr>
        <w:rFonts w:ascii="Symbol" w:hAnsi="Symbol" w:hint="default"/>
      </w:rPr>
    </w:lvl>
    <w:lvl w:ilvl="1" w:tplc="9DA2E5AE" w:tentative="1">
      <w:start w:val="1"/>
      <w:numFmt w:val="bullet"/>
      <w:lvlText w:val="o"/>
      <w:lvlJc w:val="left"/>
      <w:pPr>
        <w:ind w:left="1440" w:hanging="360"/>
      </w:pPr>
      <w:rPr>
        <w:rFonts w:ascii="Courier New" w:hAnsi="Courier New" w:cs="Courier New" w:hint="default"/>
      </w:rPr>
    </w:lvl>
    <w:lvl w:ilvl="2" w:tplc="E9DC3B32" w:tentative="1">
      <w:start w:val="1"/>
      <w:numFmt w:val="bullet"/>
      <w:lvlText w:val=""/>
      <w:lvlJc w:val="left"/>
      <w:pPr>
        <w:ind w:left="2160" w:hanging="360"/>
      </w:pPr>
      <w:rPr>
        <w:rFonts w:ascii="Wingdings" w:hAnsi="Wingdings" w:hint="default"/>
      </w:rPr>
    </w:lvl>
    <w:lvl w:ilvl="3" w:tplc="4A4820B2" w:tentative="1">
      <w:start w:val="1"/>
      <w:numFmt w:val="bullet"/>
      <w:lvlText w:val=""/>
      <w:lvlJc w:val="left"/>
      <w:pPr>
        <w:ind w:left="2880" w:hanging="360"/>
      </w:pPr>
      <w:rPr>
        <w:rFonts w:ascii="Symbol" w:hAnsi="Symbol" w:hint="default"/>
      </w:rPr>
    </w:lvl>
    <w:lvl w:ilvl="4" w:tplc="AFD87998" w:tentative="1">
      <w:start w:val="1"/>
      <w:numFmt w:val="bullet"/>
      <w:lvlText w:val="o"/>
      <w:lvlJc w:val="left"/>
      <w:pPr>
        <w:ind w:left="3600" w:hanging="360"/>
      </w:pPr>
      <w:rPr>
        <w:rFonts w:ascii="Courier New" w:hAnsi="Courier New" w:cs="Courier New" w:hint="default"/>
      </w:rPr>
    </w:lvl>
    <w:lvl w:ilvl="5" w:tplc="1A92CAEC" w:tentative="1">
      <w:start w:val="1"/>
      <w:numFmt w:val="bullet"/>
      <w:lvlText w:val=""/>
      <w:lvlJc w:val="left"/>
      <w:pPr>
        <w:ind w:left="4320" w:hanging="360"/>
      </w:pPr>
      <w:rPr>
        <w:rFonts w:ascii="Wingdings" w:hAnsi="Wingdings" w:hint="default"/>
      </w:rPr>
    </w:lvl>
    <w:lvl w:ilvl="6" w:tplc="59F696DE" w:tentative="1">
      <w:start w:val="1"/>
      <w:numFmt w:val="bullet"/>
      <w:lvlText w:val=""/>
      <w:lvlJc w:val="left"/>
      <w:pPr>
        <w:ind w:left="5040" w:hanging="360"/>
      </w:pPr>
      <w:rPr>
        <w:rFonts w:ascii="Symbol" w:hAnsi="Symbol" w:hint="default"/>
      </w:rPr>
    </w:lvl>
    <w:lvl w:ilvl="7" w:tplc="68FC239A" w:tentative="1">
      <w:start w:val="1"/>
      <w:numFmt w:val="bullet"/>
      <w:lvlText w:val="o"/>
      <w:lvlJc w:val="left"/>
      <w:pPr>
        <w:ind w:left="5760" w:hanging="360"/>
      </w:pPr>
      <w:rPr>
        <w:rFonts w:ascii="Courier New" w:hAnsi="Courier New" w:cs="Courier New" w:hint="default"/>
      </w:rPr>
    </w:lvl>
    <w:lvl w:ilvl="8" w:tplc="3B660C88"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4DEE2596">
      <w:start w:val="1"/>
      <w:numFmt w:val="bullet"/>
      <w:lvlText w:val=""/>
      <w:lvlJc w:val="left"/>
      <w:pPr>
        <w:ind w:left="720" w:hanging="360"/>
      </w:pPr>
      <w:rPr>
        <w:rFonts w:ascii="Symbol" w:hAnsi="Symbol" w:hint="default"/>
      </w:rPr>
    </w:lvl>
    <w:lvl w:ilvl="1" w:tplc="7090AE44" w:tentative="1">
      <w:start w:val="1"/>
      <w:numFmt w:val="bullet"/>
      <w:lvlText w:val="o"/>
      <w:lvlJc w:val="left"/>
      <w:pPr>
        <w:ind w:left="1440" w:hanging="360"/>
      </w:pPr>
      <w:rPr>
        <w:rFonts w:ascii="Courier New" w:hAnsi="Courier New" w:cs="Courier New" w:hint="default"/>
      </w:rPr>
    </w:lvl>
    <w:lvl w:ilvl="2" w:tplc="F9AE2550" w:tentative="1">
      <w:start w:val="1"/>
      <w:numFmt w:val="bullet"/>
      <w:lvlText w:val=""/>
      <w:lvlJc w:val="left"/>
      <w:pPr>
        <w:ind w:left="2160" w:hanging="360"/>
      </w:pPr>
      <w:rPr>
        <w:rFonts w:ascii="Wingdings" w:hAnsi="Wingdings" w:hint="default"/>
      </w:rPr>
    </w:lvl>
    <w:lvl w:ilvl="3" w:tplc="CD7803D0" w:tentative="1">
      <w:start w:val="1"/>
      <w:numFmt w:val="bullet"/>
      <w:lvlText w:val=""/>
      <w:lvlJc w:val="left"/>
      <w:pPr>
        <w:ind w:left="2880" w:hanging="360"/>
      </w:pPr>
      <w:rPr>
        <w:rFonts w:ascii="Symbol" w:hAnsi="Symbol" w:hint="default"/>
      </w:rPr>
    </w:lvl>
    <w:lvl w:ilvl="4" w:tplc="B3CC1A52" w:tentative="1">
      <w:start w:val="1"/>
      <w:numFmt w:val="bullet"/>
      <w:lvlText w:val="o"/>
      <w:lvlJc w:val="left"/>
      <w:pPr>
        <w:ind w:left="3600" w:hanging="360"/>
      </w:pPr>
      <w:rPr>
        <w:rFonts w:ascii="Courier New" w:hAnsi="Courier New" w:cs="Courier New" w:hint="default"/>
      </w:rPr>
    </w:lvl>
    <w:lvl w:ilvl="5" w:tplc="FAAE9ABC" w:tentative="1">
      <w:start w:val="1"/>
      <w:numFmt w:val="bullet"/>
      <w:lvlText w:val=""/>
      <w:lvlJc w:val="left"/>
      <w:pPr>
        <w:ind w:left="4320" w:hanging="360"/>
      </w:pPr>
      <w:rPr>
        <w:rFonts w:ascii="Wingdings" w:hAnsi="Wingdings" w:hint="default"/>
      </w:rPr>
    </w:lvl>
    <w:lvl w:ilvl="6" w:tplc="84788948" w:tentative="1">
      <w:start w:val="1"/>
      <w:numFmt w:val="bullet"/>
      <w:lvlText w:val=""/>
      <w:lvlJc w:val="left"/>
      <w:pPr>
        <w:ind w:left="5040" w:hanging="360"/>
      </w:pPr>
      <w:rPr>
        <w:rFonts w:ascii="Symbol" w:hAnsi="Symbol" w:hint="default"/>
      </w:rPr>
    </w:lvl>
    <w:lvl w:ilvl="7" w:tplc="F13E6C72" w:tentative="1">
      <w:start w:val="1"/>
      <w:numFmt w:val="bullet"/>
      <w:lvlText w:val="o"/>
      <w:lvlJc w:val="left"/>
      <w:pPr>
        <w:ind w:left="5760" w:hanging="360"/>
      </w:pPr>
      <w:rPr>
        <w:rFonts w:ascii="Courier New" w:hAnsi="Courier New" w:cs="Courier New" w:hint="default"/>
      </w:rPr>
    </w:lvl>
    <w:lvl w:ilvl="8" w:tplc="DDE887A4"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D44020BC">
      <w:start w:val="1"/>
      <w:numFmt w:val="bullet"/>
      <w:lvlText w:val=""/>
      <w:lvlJc w:val="left"/>
      <w:pPr>
        <w:ind w:left="720" w:hanging="360"/>
      </w:pPr>
      <w:rPr>
        <w:rFonts w:ascii="Symbol" w:hAnsi="Symbol" w:hint="default"/>
      </w:rPr>
    </w:lvl>
    <w:lvl w:ilvl="1" w:tplc="135C216E" w:tentative="1">
      <w:start w:val="1"/>
      <w:numFmt w:val="bullet"/>
      <w:lvlText w:val="o"/>
      <w:lvlJc w:val="left"/>
      <w:pPr>
        <w:ind w:left="1440" w:hanging="360"/>
      </w:pPr>
      <w:rPr>
        <w:rFonts w:ascii="Courier New" w:hAnsi="Courier New" w:cs="Courier New" w:hint="default"/>
      </w:rPr>
    </w:lvl>
    <w:lvl w:ilvl="2" w:tplc="E110D44A" w:tentative="1">
      <w:start w:val="1"/>
      <w:numFmt w:val="bullet"/>
      <w:lvlText w:val=""/>
      <w:lvlJc w:val="left"/>
      <w:pPr>
        <w:ind w:left="2160" w:hanging="360"/>
      </w:pPr>
      <w:rPr>
        <w:rFonts w:ascii="Wingdings" w:hAnsi="Wingdings" w:hint="default"/>
      </w:rPr>
    </w:lvl>
    <w:lvl w:ilvl="3" w:tplc="D4BA94E2" w:tentative="1">
      <w:start w:val="1"/>
      <w:numFmt w:val="bullet"/>
      <w:lvlText w:val=""/>
      <w:lvlJc w:val="left"/>
      <w:pPr>
        <w:ind w:left="2880" w:hanging="360"/>
      </w:pPr>
      <w:rPr>
        <w:rFonts w:ascii="Symbol" w:hAnsi="Symbol" w:hint="default"/>
      </w:rPr>
    </w:lvl>
    <w:lvl w:ilvl="4" w:tplc="423A3BBE" w:tentative="1">
      <w:start w:val="1"/>
      <w:numFmt w:val="bullet"/>
      <w:lvlText w:val="o"/>
      <w:lvlJc w:val="left"/>
      <w:pPr>
        <w:ind w:left="3600" w:hanging="360"/>
      </w:pPr>
      <w:rPr>
        <w:rFonts w:ascii="Courier New" w:hAnsi="Courier New" w:cs="Courier New" w:hint="default"/>
      </w:rPr>
    </w:lvl>
    <w:lvl w:ilvl="5" w:tplc="5ECAF386" w:tentative="1">
      <w:start w:val="1"/>
      <w:numFmt w:val="bullet"/>
      <w:lvlText w:val=""/>
      <w:lvlJc w:val="left"/>
      <w:pPr>
        <w:ind w:left="4320" w:hanging="360"/>
      </w:pPr>
      <w:rPr>
        <w:rFonts w:ascii="Wingdings" w:hAnsi="Wingdings" w:hint="default"/>
      </w:rPr>
    </w:lvl>
    <w:lvl w:ilvl="6" w:tplc="EE26A954" w:tentative="1">
      <w:start w:val="1"/>
      <w:numFmt w:val="bullet"/>
      <w:lvlText w:val=""/>
      <w:lvlJc w:val="left"/>
      <w:pPr>
        <w:ind w:left="5040" w:hanging="360"/>
      </w:pPr>
      <w:rPr>
        <w:rFonts w:ascii="Symbol" w:hAnsi="Symbol" w:hint="default"/>
      </w:rPr>
    </w:lvl>
    <w:lvl w:ilvl="7" w:tplc="69242826" w:tentative="1">
      <w:start w:val="1"/>
      <w:numFmt w:val="bullet"/>
      <w:lvlText w:val="o"/>
      <w:lvlJc w:val="left"/>
      <w:pPr>
        <w:ind w:left="5760" w:hanging="360"/>
      </w:pPr>
      <w:rPr>
        <w:rFonts w:ascii="Courier New" w:hAnsi="Courier New" w:cs="Courier New" w:hint="default"/>
      </w:rPr>
    </w:lvl>
    <w:lvl w:ilvl="8" w:tplc="B30C774C"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78BE90C0">
      <w:start w:val="1"/>
      <w:numFmt w:val="bullet"/>
      <w:lvlText w:val=""/>
      <w:lvlJc w:val="left"/>
      <w:pPr>
        <w:ind w:left="900" w:hanging="360"/>
      </w:pPr>
      <w:rPr>
        <w:rFonts w:ascii="Symbol" w:hAnsi="Symbol" w:hint="default"/>
        <w:sz w:val="18"/>
      </w:rPr>
    </w:lvl>
    <w:lvl w:ilvl="1" w:tplc="BE4293DC" w:tentative="1">
      <w:start w:val="1"/>
      <w:numFmt w:val="bullet"/>
      <w:lvlText w:val="o"/>
      <w:lvlJc w:val="left"/>
      <w:pPr>
        <w:ind w:left="1620" w:hanging="360"/>
      </w:pPr>
      <w:rPr>
        <w:rFonts w:ascii="Courier New" w:hAnsi="Courier New" w:cs="Courier New" w:hint="default"/>
      </w:rPr>
    </w:lvl>
    <w:lvl w:ilvl="2" w:tplc="0106C0D4" w:tentative="1">
      <w:start w:val="1"/>
      <w:numFmt w:val="bullet"/>
      <w:lvlText w:val=""/>
      <w:lvlJc w:val="left"/>
      <w:pPr>
        <w:ind w:left="2340" w:hanging="360"/>
      </w:pPr>
      <w:rPr>
        <w:rFonts w:ascii="Wingdings" w:hAnsi="Wingdings" w:hint="default"/>
      </w:rPr>
    </w:lvl>
    <w:lvl w:ilvl="3" w:tplc="2BD059DA" w:tentative="1">
      <w:start w:val="1"/>
      <w:numFmt w:val="bullet"/>
      <w:lvlText w:val=""/>
      <w:lvlJc w:val="left"/>
      <w:pPr>
        <w:ind w:left="3060" w:hanging="360"/>
      </w:pPr>
      <w:rPr>
        <w:rFonts w:ascii="Symbol" w:hAnsi="Symbol" w:hint="default"/>
      </w:rPr>
    </w:lvl>
    <w:lvl w:ilvl="4" w:tplc="600402EE" w:tentative="1">
      <w:start w:val="1"/>
      <w:numFmt w:val="bullet"/>
      <w:lvlText w:val="o"/>
      <w:lvlJc w:val="left"/>
      <w:pPr>
        <w:ind w:left="3780" w:hanging="360"/>
      </w:pPr>
      <w:rPr>
        <w:rFonts w:ascii="Courier New" w:hAnsi="Courier New" w:cs="Courier New" w:hint="default"/>
      </w:rPr>
    </w:lvl>
    <w:lvl w:ilvl="5" w:tplc="BAF4B3D0" w:tentative="1">
      <w:start w:val="1"/>
      <w:numFmt w:val="bullet"/>
      <w:lvlText w:val=""/>
      <w:lvlJc w:val="left"/>
      <w:pPr>
        <w:ind w:left="4500" w:hanging="360"/>
      </w:pPr>
      <w:rPr>
        <w:rFonts w:ascii="Wingdings" w:hAnsi="Wingdings" w:hint="default"/>
      </w:rPr>
    </w:lvl>
    <w:lvl w:ilvl="6" w:tplc="A8EAA816" w:tentative="1">
      <w:start w:val="1"/>
      <w:numFmt w:val="bullet"/>
      <w:lvlText w:val=""/>
      <w:lvlJc w:val="left"/>
      <w:pPr>
        <w:ind w:left="5220" w:hanging="360"/>
      </w:pPr>
      <w:rPr>
        <w:rFonts w:ascii="Symbol" w:hAnsi="Symbol" w:hint="default"/>
      </w:rPr>
    </w:lvl>
    <w:lvl w:ilvl="7" w:tplc="CF301CCA" w:tentative="1">
      <w:start w:val="1"/>
      <w:numFmt w:val="bullet"/>
      <w:lvlText w:val="o"/>
      <w:lvlJc w:val="left"/>
      <w:pPr>
        <w:ind w:left="5940" w:hanging="360"/>
      </w:pPr>
      <w:rPr>
        <w:rFonts w:ascii="Courier New" w:hAnsi="Courier New" w:cs="Courier New" w:hint="default"/>
      </w:rPr>
    </w:lvl>
    <w:lvl w:ilvl="8" w:tplc="D5E8D056"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9F16B664">
      <w:start w:val="1"/>
      <w:numFmt w:val="bullet"/>
      <w:lvlText w:val=""/>
      <w:lvlJc w:val="left"/>
      <w:pPr>
        <w:ind w:left="720" w:hanging="360"/>
      </w:pPr>
      <w:rPr>
        <w:rFonts w:ascii="Symbol" w:hAnsi="Symbol" w:hint="default"/>
      </w:rPr>
    </w:lvl>
    <w:lvl w:ilvl="1" w:tplc="9D9E2F0A" w:tentative="1">
      <w:start w:val="1"/>
      <w:numFmt w:val="bullet"/>
      <w:lvlText w:val="o"/>
      <w:lvlJc w:val="left"/>
      <w:pPr>
        <w:ind w:left="1440" w:hanging="360"/>
      </w:pPr>
      <w:rPr>
        <w:rFonts w:ascii="Courier New" w:hAnsi="Courier New" w:cs="Courier New" w:hint="default"/>
      </w:rPr>
    </w:lvl>
    <w:lvl w:ilvl="2" w:tplc="04C0766C" w:tentative="1">
      <w:start w:val="1"/>
      <w:numFmt w:val="bullet"/>
      <w:lvlText w:val=""/>
      <w:lvlJc w:val="left"/>
      <w:pPr>
        <w:ind w:left="2160" w:hanging="360"/>
      </w:pPr>
      <w:rPr>
        <w:rFonts w:ascii="Wingdings" w:hAnsi="Wingdings" w:hint="default"/>
      </w:rPr>
    </w:lvl>
    <w:lvl w:ilvl="3" w:tplc="72D25A2E" w:tentative="1">
      <w:start w:val="1"/>
      <w:numFmt w:val="bullet"/>
      <w:lvlText w:val=""/>
      <w:lvlJc w:val="left"/>
      <w:pPr>
        <w:ind w:left="2880" w:hanging="360"/>
      </w:pPr>
      <w:rPr>
        <w:rFonts w:ascii="Symbol" w:hAnsi="Symbol" w:hint="default"/>
      </w:rPr>
    </w:lvl>
    <w:lvl w:ilvl="4" w:tplc="FC9ECA16" w:tentative="1">
      <w:start w:val="1"/>
      <w:numFmt w:val="bullet"/>
      <w:lvlText w:val="o"/>
      <w:lvlJc w:val="left"/>
      <w:pPr>
        <w:ind w:left="3600" w:hanging="360"/>
      </w:pPr>
      <w:rPr>
        <w:rFonts w:ascii="Courier New" w:hAnsi="Courier New" w:cs="Courier New" w:hint="default"/>
      </w:rPr>
    </w:lvl>
    <w:lvl w:ilvl="5" w:tplc="374E20C4" w:tentative="1">
      <w:start w:val="1"/>
      <w:numFmt w:val="bullet"/>
      <w:lvlText w:val=""/>
      <w:lvlJc w:val="left"/>
      <w:pPr>
        <w:ind w:left="4320" w:hanging="360"/>
      </w:pPr>
      <w:rPr>
        <w:rFonts w:ascii="Wingdings" w:hAnsi="Wingdings" w:hint="default"/>
      </w:rPr>
    </w:lvl>
    <w:lvl w:ilvl="6" w:tplc="8A9E4A98" w:tentative="1">
      <w:start w:val="1"/>
      <w:numFmt w:val="bullet"/>
      <w:lvlText w:val=""/>
      <w:lvlJc w:val="left"/>
      <w:pPr>
        <w:ind w:left="5040" w:hanging="360"/>
      </w:pPr>
      <w:rPr>
        <w:rFonts w:ascii="Symbol" w:hAnsi="Symbol" w:hint="default"/>
      </w:rPr>
    </w:lvl>
    <w:lvl w:ilvl="7" w:tplc="010EAE36" w:tentative="1">
      <w:start w:val="1"/>
      <w:numFmt w:val="bullet"/>
      <w:lvlText w:val="o"/>
      <w:lvlJc w:val="left"/>
      <w:pPr>
        <w:ind w:left="5760" w:hanging="360"/>
      </w:pPr>
      <w:rPr>
        <w:rFonts w:ascii="Courier New" w:hAnsi="Courier New" w:cs="Courier New" w:hint="default"/>
      </w:rPr>
    </w:lvl>
    <w:lvl w:ilvl="8" w:tplc="BAEA2304"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6E30C9B0">
      <w:start w:val="1"/>
      <w:numFmt w:val="bullet"/>
      <w:lvlText w:val=""/>
      <w:lvlJc w:val="left"/>
      <w:pPr>
        <w:ind w:left="720" w:hanging="360"/>
      </w:pPr>
      <w:rPr>
        <w:rFonts w:ascii="Symbol" w:hAnsi="Symbol" w:hint="default"/>
        <w:sz w:val="18"/>
      </w:rPr>
    </w:lvl>
    <w:lvl w:ilvl="1" w:tplc="19D43AE2" w:tentative="1">
      <w:start w:val="1"/>
      <w:numFmt w:val="bullet"/>
      <w:lvlText w:val="o"/>
      <w:lvlJc w:val="left"/>
      <w:pPr>
        <w:ind w:left="1440" w:hanging="360"/>
      </w:pPr>
      <w:rPr>
        <w:rFonts w:ascii="Courier New" w:hAnsi="Courier New" w:cs="Courier New" w:hint="default"/>
      </w:rPr>
    </w:lvl>
    <w:lvl w:ilvl="2" w:tplc="673E15EC" w:tentative="1">
      <w:start w:val="1"/>
      <w:numFmt w:val="bullet"/>
      <w:lvlText w:val=""/>
      <w:lvlJc w:val="left"/>
      <w:pPr>
        <w:ind w:left="2160" w:hanging="360"/>
      </w:pPr>
      <w:rPr>
        <w:rFonts w:ascii="Wingdings" w:hAnsi="Wingdings" w:hint="default"/>
      </w:rPr>
    </w:lvl>
    <w:lvl w:ilvl="3" w:tplc="77FC7310" w:tentative="1">
      <w:start w:val="1"/>
      <w:numFmt w:val="bullet"/>
      <w:lvlText w:val=""/>
      <w:lvlJc w:val="left"/>
      <w:pPr>
        <w:ind w:left="2880" w:hanging="360"/>
      </w:pPr>
      <w:rPr>
        <w:rFonts w:ascii="Symbol" w:hAnsi="Symbol" w:hint="default"/>
      </w:rPr>
    </w:lvl>
    <w:lvl w:ilvl="4" w:tplc="BB706BF8" w:tentative="1">
      <w:start w:val="1"/>
      <w:numFmt w:val="bullet"/>
      <w:lvlText w:val="o"/>
      <w:lvlJc w:val="left"/>
      <w:pPr>
        <w:ind w:left="3600" w:hanging="360"/>
      </w:pPr>
      <w:rPr>
        <w:rFonts w:ascii="Courier New" w:hAnsi="Courier New" w:cs="Courier New" w:hint="default"/>
      </w:rPr>
    </w:lvl>
    <w:lvl w:ilvl="5" w:tplc="9724B62A" w:tentative="1">
      <w:start w:val="1"/>
      <w:numFmt w:val="bullet"/>
      <w:lvlText w:val=""/>
      <w:lvlJc w:val="left"/>
      <w:pPr>
        <w:ind w:left="4320" w:hanging="360"/>
      </w:pPr>
      <w:rPr>
        <w:rFonts w:ascii="Wingdings" w:hAnsi="Wingdings" w:hint="default"/>
      </w:rPr>
    </w:lvl>
    <w:lvl w:ilvl="6" w:tplc="ED8A6CA8" w:tentative="1">
      <w:start w:val="1"/>
      <w:numFmt w:val="bullet"/>
      <w:lvlText w:val=""/>
      <w:lvlJc w:val="left"/>
      <w:pPr>
        <w:ind w:left="5040" w:hanging="360"/>
      </w:pPr>
      <w:rPr>
        <w:rFonts w:ascii="Symbol" w:hAnsi="Symbol" w:hint="default"/>
      </w:rPr>
    </w:lvl>
    <w:lvl w:ilvl="7" w:tplc="FAE4B1CA" w:tentative="1">
      <w:start w:val="1"/>
      <w:numFmt w:val="bullet"/>
      <w:lvlText w:val="o"/>
      <w:lvlJc w:val="left"/>
      <w:pPr>
        <w:ind w:left="5760" w:hanging="360"/>
      </w:pPr>
      <w:rPr>
        <w:rFonts w:ascii="Courier New" w:hAnsi="Courier New" w:cs="Courier New" w:hint="default"/>
      </w:rPr>
    </w:lvl>
    <w:lvl w:ilvl="8" w:tplc="4A72488C"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153CEF0A">
      <w:start w:val="1"/>
      <w:numFmt w:val="bullet"/>
      <w:lvlText w:val="o"/>
      <w:lvlJc w:val="left"/>
      <w:pPr>
        <w:ind w:left="900" w:hanging="360"/>
      </w:pPr>
      <w:rPr>
        <w:rFonts w:ascii="Courier New" w:hAnsi="Courier New" w:hint="default"/>
      </w:rPr>
    </w:lvl>
    <w:lvl w:ilvl="1" w:tplc="FEDE2C26" w:tentative="1">
      <w:start w:val="1"/>
      <w:numFmt w:val="bullet"/>
      <w:lvlText w:val="o"/>
      <w:lvlJc w:val="left"/>
      <w:pPr>
        <w:ind w:left="1620" w:hanging="360"/>
      </w:pPr>
      <w:rPr>
        <w:rFonts w:ascii="Courier New" w:hAnsi="Courier New" w:cs="Courier New" w:hint="default"/>
      </w:rPr>
    </w:lvl>
    <w:lvl w:ilvl="2" w:tplc="3DD0B762" w:tentative="1">
      <w:start w:val="1"/>
      <w:numFmt w:val="bullet"/>
      <w:lvlText w:val=""/>
      <w:lvlJc w:val="left"/>
      <w:pPr>
        <w:ind w:left="2340" w:hanging="360"/>
      </w:pPr>
      <w:rPr>
        <w:rFonts w:ascii="Wingdings" w:hAnsi="Wingdings" w:hint="default"/>
      </w:rPr>
    </w:lvl>
    <w:lvl w:ilvl="3" w:tplc="DBA62210" w:tentative="1">
      <w:start w:val="1"/>
      <w:numFmt w:val="bullet"/>
      <w:lvlText w:val=""/>
      <w:lvlJc w:val="left"/>
      <w:pPr>
        <w:ind w:left="3060" w:hanging="360"/>
      </w:pPr>
      <w:rPr>
        <w:rFonts w:ascii="Symbol" w:hAnsi="Symbol" w:hint="default"/>
      </w:rPr>
    </w:lvl>
    <w:lvl w:ilvl="4" w:tplc="0E7E3D8C" w:tentative="1">
      <w:start w:val="1"/>
      <w:numFmt w:val="bullet"/>
      <w:lvlText w:val="o"/>
      <w:lvlJc w:val="left"/>
      <w:pPr>
        <w:ind w:left="3780" w:hanging="360"/>
      </w:pPr>
      <w:rPr>
        <w:rFonts w:ascii="Courier New" w:hAnsi="Courier New" w:cs="Courier New" w:hint="default"/>
      </w:rPr>
    </w:lvl>
    <w:lvl w:ilvl="5" w:tplc="6F5CBEAC" w:tentative="1">
      <w:start w:val="1"/>
      <w:numFmt w:val="bullet"/>
      <w:lvlText w:val=""/>
      <w:lvlJc w:val="left"/>
      <w:pPr>
        <w:ind w:left="4500" w:hanging="360"/>
      </w:pPr>
      <w:rPr>
        <w:rFonts w:ascii="Wingdings" w:hAnsi="Wingdings" w:hint="default"/>
      </w:rPr>
    </w:lvl>
    <w:lvl w:ilvl="6" w:tplc="70328FE8" w:tentative="1">
      <w:start w:val="1"/>
      <w:numFmt w:val="bullet"/>
      <w:lvlText w:val=""/>
      <w:lvlJc w:val="left"/>
      <w:pPr>
        <w:ind w:left="5220" w:hanging="360"/>
      </w:pPr>
      <w:rPr>
        <w:rFonts w:ascii="Symbol" w:hAnsi="Symbol" w:hint="default"/>
      </w:rPr>
    </w:lvl>
    <w:lvl w:ilvl="7" w:tplc="5A12DE60" w:tentative="1">
      <w:start w:val="1"/>
      <w:numFmt w:val="bullet"/>
      <w:lvlText w:val="o"/>
      <w:lvlJc w:val="left"/>
      <w:pPr>
        <w:ind w:left="5940" w:hanging="360"/>
      </w:pPr>
      <w:rPr>
        <w:rFonts w:ascii="Courier New" w:hAnsi="Courier New" w:cs="Courier New" w:hint="default"/>
      </w:rPr>
    </w:lvl>
    <w:lvl w:ilvl="8" w:tplc="A21C85A8"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8D2429EC">
      <w:start w:val="1"/>
      <w:numFmt w:val="bullet"/>
      <w:lvlText w:val=""/>
      <w:lvlJc w:val="left"/>
      <w:pPr>
        <w:ind w:left="720" w:hanging="360"/>
      </w:pPr>
      <w:rPr>
        <w:rFonts w:ascii="Symbol" w:hAnsi="Symbol" w:hint="default"/>
      </w:rPr>
    </w:lvl>
    <w:lvl w:ilvl="1" w:tplc="B31A65F0" w:tentative="1">
      <w:start w:val="1"/>
      <w:numFmt w:val="bullet"/>
      <w:lvlText w:val="o"/>
      <w:lvlJc w:val="left"/>
      <w:pPr>
        <w:ind w:left="1440" w:hanging="360"/>
      </w:pPr>
      <w:rPr>
        <w:rFonts w:ascii="Courier New" w:hAnsi="Courier New" w:cs="Courier New" w:hint="default"/>
      </w:rPr>
    </w:lvl>
    <w:lvl w:ilvl="2" w:tplc="34806470" w:tentative="1">
      <w:start w:val="1"/>
      <w:numFmt w:val="bullet"/>
      <w:lvlText w:val=""/>
      <w:lvlJc w:val="left"/>
      <w:pPr>
        <w:ind w:left="2160" w:hanging="360"/>
      </w:pPr>
      <w:rPr>
        <w:rFonts w:ascii="Wingdings" w:hAnsi="Wingdings" w:hint="default"/>
      </w:rPr>
    </w:lvl>
    <w:lvl w:ilvl="3" w:tplc="962A5F52" w:tentative="1">
      <w:start w:val="1"/>
      <w:numFmt w:val="bullet"/>
      <w:lvlText w:val=""/>
      <w:lvlJc w:val="left"/>
      <w:pPr>
        <w:ind w:left="2880" w:hanging="360"/>
      </w:pPr>
      <w:rPr>
        <w:rFonts w:ascii="Symbol" w:hAnsi="Symbol" w:hint="default"/>
      </w:rPr>
    </w:lvl>
    <w:lvl w:ilvl="4" w:tplc="26FC1650" w:tentative="1">
      <w:start w:val="1"/>
      <w:numFmt w:val="bullet"/>
      <w:lvlText w:val="o"/>
      <w:lvlJc w:val="left"/>
      <w:pPr>
        <w:ind w:left="3600" w:hanging="360"/>
      </w:pPr>
      <w:rPr>
        <w:rFonts w:ascii="Courier New" w:hAnsi="Courier New" w:cs="Courier New" w:hint="default"/>
      </w:rPr>
    </w:lvl>
    <w:lvl w:ilvl="5" w:tplc="5720F01C" w:tentative="1">
      <w:start w:val="1"/>
      <w:numFmt w:val="bullet"/>
      <w:lvlText w:val=""/>
      <w:lvlJc w:val="left"/>
      <w:pPr>
        <w:ind w:left="4320" w:hanging="360"/>
      </w:pPr>
      <w:rPr>
        <w:rFonts w:ascii="Wingdings" w:hAnsi="Wingdings" w:hint="default"/>
      </w:rPr>
    </w:lvl>
    <w:lvl w:ilvl="6" w:tplc="1500F48E" w:tentative="1">
      <w:start w:val="1"/>
      <w:numFmt w:val="bullet"/>
      <w:lvlText w:val=""/>
      <w:lvlJc w:val="left"/>
      <w:pPr>
        <w:ind w:left="5040" w:hanging="360"/>
      </w:pPr>
      <w:rPr>
        <w:rFonts w:ascii="Symbol" w:hAnsi="Symbol" w:hint="default"/>
      </w:rPr>
    </w:lvl>
    <w:lvl w:ilvl="7" w:tplc="A2F8A99A" w:tentative="1">
      <w:start w:val="1"/>
      <w:numFmt w:val="bullet"/>
      <w:lvlText w:val="o"/>
      <w:lvlJc w:val="left"/>
      <w:pPr>
        <w:ind w:left="5760" w:hanging="360"/>
      </w:pPr>
      <w:rPr>
        <w:rFonts w:ascii="Courier New" w:hAnsi="Courier New" w:cs="Courier New" w:hint="default"/>
      </w:rPr>
    </w:lvl>
    <w:lvl w:ilvl="8" w:tplc="E59AD684"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4D26FCC4">
      <w:start w:val="1"/>
      <w:numFmt w:val="bullet"/>
      <w:lvlText w:val=""/>
      <w:lvlJc w:val="left"/>
      <w:pPr>
        <w:ind w:left="720" w:hanging="360"/>
      </w:pPr>
      <w:rPr>
        <w:rFonts w:ascii="Symbol" w:hAnsi="Symbol" w:hint="default"/>
      </w:rPr>
    </w:lvl>
    <w:lvl w:ilvl="1" w:tplc="7160EBF6" w:tentative="1">
      <w:start w:val="1"/>
      <w:numFmt w:val="bullet"/>
      <w:lvlText w:val="o"/>
      <w:lvlJc w:val="left"/>
      <w:pPr>
        <w:ind w:left="1440" w:hanging="360"/>
      </w:pPr>
      <w:rPr>
        <w:rFonts w:ascii="Courier New" w:hAnsi="Courier New" w:cs="Courier New" w:hint="default"/>
      </w:rPr>
    </w:lvl>
    <w:lvl w:ilvl="2" w:tplc="BA6E92EC" w:tentative="1">
      <w:start w:val="1"/>
      <w:numFmt w:val="bullet"/>
      <w:lvlText w:val=""/>
      <w:lvlJc w:val="left"/>
      <w:pPr>
        <w:ind w:left="2160" w:hanging="360"/>
      </w:pPr>
      <w:rPr>
        <w:rFonts w:ascii="Wingdings" w:hAnsi="Wingdings" w:hint="default"/>
      </w:rPr>
    </w:lvl>
    <w:lvl w:ilvl="3" w:tplc="DCDC669C" w:tentative="1">
      <w:start w:val="1"/>
      <w:numFmt w:val="bullet"/>
      <w:lvlText w:val=""/>
      <w:lvlJc w:val="left"/>
      <w:pPr>
        <w:ind w:left="2880" w:hanging="360"/>
      </w:pPr>
      <w:rPr>
        <w:rFonts w:ascii="Symbol" w:hAnsi="Symbol" w:hint="default"/>
      </w:rPr>
    </w:lvl>
    <w:lvl w:ilvl="4" w:tplc="EAA20D9A" w:tentative="1">
      <w:start w:val="1"/>
      <w:numFmt w:val="bullet"/>
      <w:lvlText w:val="o"/>
      <w:lvlJc w:val="left"/>
      <w:pPr>
        <w:ind w:left="3600" w:hanging="360"/>
      </w:pPr>
      <w:rPr>
        <w:rFonts w:ascii="Courier New" w:hAnsi="Courier New" w:cs="Courier New" w:hint="default"/>
      </w:rPr>
    </w:lvl>
    <w:lvl w:ilvl="5" w:tplc="40B4C7E4" w:tentative="1">
      <w:start w:val="1"/>
      <w:numFmt w:val="bullet"/>
      <w:lvlText w:val=""/>
      <w:lvlJc w:val="left"/>
      <w:pPr>
        <w:ind w:left="4320" w:hanging="360"/>
      </w:pPr>
      <w:rPr>
        <w:rFonts w:ascii="Wingdings" w:hAnsi="Wingdings" w:hint="default"/>
      </w:rPr>
    </w:lvl>
    <w:lvl w:ilvl="6" w:tplc="FDF2E9B4" w:tentative="1">
      <w:start w:val="1"/>
      <w:numFmt w:val="bullet"/>
      <w:lvlText w:val=""/>
      <w:lvlJc w:val="left"/>
      <w:pPr>
        <w:ind w:left="5040" w:hanging="360"/>
      </w:pPr>
      <w:rPr>
        <w:rFonts w:ascii="Symbol" w:hAnsi="Symbol" w:hint="default"/>
      </w:rPr>
    </w:lvl>
    <w:lvl w:ilvl="7" w:tplc="61322428" w:tentative="1">
      <w:start w:val="1"/>
      <w:numFmt w:val="bullet"/>
      <w:lvlText w:val="o"/>
      <w:lvlJc w:val="left"/>
      <w:pPr>
        <w:ind w:left="5760" w:hanging="360"/>
      </w:pPr>
      <w:rPr>
        <w:rFonts w:ascii="Courier New" w:hAnsi="Courier New" w:cs="Courier New" w:hint="default"/>
      </w:rPr>
    </w:lvl>
    <w:lvl w:ilvl="8" w:tplc="8570A50E"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A7D0445C">
      <w:start w:val="1"/>
      <w:numFmt w:val="bullet"/>
      <w:lvlText w:val=""/>
      <w:lvlJc w:val="left"/>
      <w:pPr>
        <w:ind w:left="720" w:hanging="360"/>
      </w:pPr>
      <w:rPr>
        <w:rFonts w:ascii="Symbol" w:hAnsi="Symbol" w:hint="default"/>
      </w:rPr>
    </w:lvl>
    <w:lvl w:ilvl="1" w:tplc="F79E21B6" w:tentative="1">
      <w:start w:val="1"/>
      <w:numFmt w:val="bullet"/>
      <w:lvlText w:val="o"/>
      <w:lvlJc w:val="left"/>
      <w:pPr>
        <w:ind w:left="1440" w:hanging="360"/>
      </w:pPr>
      <w:rPr>
        <w:rFonts w:ascii="Courier New" w:hAnsi="Courier New" w:cs="Courier New" w:hint="default"/>
      </w:rPr>
    </w:lvl>
    <w:lvl w:ilvl="2" w:tplc="B398610A" w:tentative="1">
      <w:start w:val="1"/>
      <w:numFmt w:val="bullet"/>
      <w:lvlText w:val=""/>
      <w:lvlJc w:val="left"/>
      <w:pPr>
        <w:ind w:left="2160" w:hanging="360"/>
      </w:pPr>
      <w:rPr>
        <w:rFonts w:ascii="Wingdings" w:hAnsi="Wingdings" w:hint="default"/>
      </w:rPr>
    </w:lvl>
    <w:lvl w:ilvl="3" w:tplc="10A87C30" w:tentative="1">
      <w:start w:val="1"/>
      <w:numFmt w:val="bullet"/>
      <w:lvlText w:val=""/>
      <w:lvlJc w:val="left"/>
      <w:pPr>
        <w:ind w:left="2880" w:hanging="360"/>
      </w:pPr>
      <w:rPr>
        <w:rFonts w:ascii="Symbol" w:hAnsi="Symbol" w:hint="default"/>
      </w:rPr>
    </w:lvl>
    <w:lvl w:ilvl="4" w:tplc="A5F67D02" w:tentative="1">
      <w:start w:val="1"/>
      <w:numFmt w:val="bullet"/>
      <w:lvlText w:val="o"/>
      <w:lvlJc w:val="left"/>
      <w:pPr>
        <w:ind w:left="3600" w:hanging="360"/>
      </w:pPr>
      <w:rPr>
        <w:rFonts w:ascii="Courier New" w:hAnsi="Courier New" w:cs="Courier New" w:hint="default"/>
      </w:rPr>
    </w:lvl>
    <w:lvl w:ilvl="5" w:tplc="51AA4838" w:tentative="1">
      <w:start w:val="1"/>
      <w:numFmt w:val="bullet"/>
      <w:lvlText w:val=""/>
      <w:lvlJc w:val="left"/>
      <w:pPr>
        <w:ind w:left="4320" w:hanging="360"/>
      </w:pPr>
      <w:rPr>
        <w:rFonts w:ascii="Wingdings" w:hAnsi="Wingdings" w:hint="default"/>
      </w:rPr>
    </w:lvl>
    <w:lvl w:ilvl="6" w:tplc="121C38FC" w:tentative="1">
      <w:start w:val="1"/>
      <w:numFmt w:val="bullet"/>
      <w:lvlText w:val=""/>
      <w:lvlJc w:val="left"/>
      <w:pPr>
        <w:ind w:left="5040" w:hanging="360"/>
      </w:pPr>
      <w:rPr>
        <w:rFonts w:ascii="Symbol" w:hAnsi="Symbol" w:hint="default"/>
      </w:rPr>
    </w:lvl>
    <w:lvl w:ilvl="7" w:tplc="7BAE365A" w:tentative="1">
      <w:start w:val="1"/>
      <w:numFmt w:val="bullet"/>
      <w:lvlText w:val="o"/>
      <w:lvlJc w:val="left"/>
      <w:pPr>
        <w:ind w:left="5760" w:hanging="360"/>
      </w:pPr>
      <w:rPr>
        <w:rFonts w:ascii="Courier New" w:hAnsi="Courier New" w:cs="Courier New" w:hint="default"/>
      </w:rPr>
    </w:lvl>
    <w:lvl w:ilvl="8" w:tplc="7FC668EE"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67F80820">
      <w:start w:val="1"/>
      <w:numFmt w:val="bullet"/>
      <w:lvlText w:val=""/>
      <w:lvlJc w:val="left"/>
      <w:pPr>
        <w:ind w:left="720" w:hanging="360"/>
      </w:pPr>
      <w:rPr>
        <w:rFonts w:ascii="Symbol" w:hAnsi="Symbol" w:hint="default"/>
      </w:rPr>
    </w:lvl>
    <w:lvl w:ilvl="1" w:tplc="2D70B216">
      <w:start w:val="1"/>
      <w:numFmt w:val="bullet"/>
      <w:lvlText w:val="o"/>
      <w:lvlJc w:val="left"/>
      <w:pPr>
        <w:ind w:left="1440" w:hanging="360"/>
      </w:pPr>
      <w:rPr>
        <w:rFonts w:ascii="Courier New" w:hAnsi="Courier New" w:cs="Courier New" w:hint="default"/>
      </w:rPr>
    </w:lvl>
    <w:lvl w:ilvl="2" w:tplc="A9247C88" w:tentative="1">
      <w:start w:val="1"/>
      <w:numFmt w:val="bullet"/>
      <w:lvlText w:val=""/>
      <w:lvlJc w:val="left"/>
      <w:pPr>
        <w:ind w:left="2160" w:hanging="360"/>
      </w:pPr>
      <w:rPr>
        <w:rFonts w:ascii="Wingdings" w:hAnsi="Wingdings" w:hint="default"/>
      </w:rPr>
    </w:lvl>
    <w:lvl w:ilvl="3" w:tplc="CC80FF0A" w:tentative="1">
      <w:start w:val="1"/>
      <w:numFmt w:val="bullet"/>
      <w:lvlText w:val=""/>
      <w:lvlJc w:val="left"/>
      <w:pPr>
        <w:ind w:left="2880" w:hanging="360"/>
      </w:pPr>
      <w:rPr>
        <w:rFonts w:ascii="Symbol" w:hAnsi="Symbol" w:hint="default"/>
      </w:rPr>
    </w:lvl>
    <w:lvl w:ilvl="4" w:tplc="B668532A" w:tentative="1">
      <w:start w:val="1"/>
      <w:numFmt w:val="bullet"/>
      <w:lvlText w:val="o"/>
      <w:lvlJc w:val="left"/>
      <w:pPr>
        <w:ind w:left="3600" w:hanging="360"/>
      </w:pPr>
      <w:rPr>
        <w:rFonts w:ascii="Courier New" w:hAnsi="Courier New" w:cs="Courier New" w:hint="default"/>
      </w:rPr>
    </w:lvl>
    <w:lvl w:ilvl="5" w:tplc="F9BE857C" w:tentative="1">
      <w:start w:val="1"/>
      <w:numFmt w:val="bullet"/>
      <w:lvlText w:val=""/>
      <w:lvlJc w:val="left"/>
      <w:pPr>
        <w:ind w:left="4320" w:hanging="360"/>
      </w:pPr>
      <w:rPr>
        <w:rFonts w:ascii="Wingdings" w:hAnsi="Wingdings" w:hint="default"/>
      </w:rPr>
    </w:lvl>
    <w:lvl w:ilvl="6" w:tplc="840E76BE" w:tentative="1">
      <w:start w:val="1"/>
      <w:numFmt w:val="bullet"/>
      <w:lvlText w:val=""/>
      <w:lvlJc w:val="left"/>
      <w:pPr>
        <w:ind w:left="5040" w:hanging="360"/>
      </w:pPr>
      <w:rPr>
        <w:rFonts w:ascii="Symbol" w:hAnsi="Symbol" w:hint="default"/>
      </w:rPr>
    </w:lvl>
    <w:lvl w:ilvl="7" w:tplc="D72E80E6" w:tentative="1">
      <w:start w:val="1"/>
      <w:numFmt w:val="bullet"/>
      <w:lvlText w:val="o"/>
      <w:lvlJc w:val="left"/>
      <w:pPr>
        <w:ind w:left="5760" w:hanging="360"/>
      </w:pPr>
      <w:rPr>
        <w:rFonts w:ascii="Courier New" w:hAnsi="Courier New" w:cs="Courier New" w:hint="default"/>
      </w:rPr>
    </w:lvl>
    <w:lvl w:ilvl="8" w:tplc="8ACC1868"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39D89674">
      <w:start w:val="1"/>
      <w:numFmt w:val="lowerRoman"/>
      <w:lvlText w:val="%1."/>
      <w:lvlJc w:val="left"/>
      <w:pPr>
        <w:ind w:left="1080" w:hanging="720"/>
      </w:pPr>
      <w:rPr>
        <w:rFonts w:hint="default"/>
      </w:rPr>
    </w:lvl>
    <w:lvl w:ilvl="1" w:tplc="4A8E8932">
      <w:start w:val="1"/>
      <w:numFmt w:val="lowerLetter"/>
      <w:lvlText w:val="%2."/>
      <w:lvlJc w:val="left"/>
      <w:pPr>
        <w:ind w:left="1440" w:hanging="360"/>
      </w:pPr>
      <w:rPr>
        <w:rFonts w:hint="default"/>
      </w:rPr>
    </w:lvl>
    <w:lvl w:ilvl="2" w:tplc="D2968206" w:tentative="1">
      <w:start w:val="1"/>
      <w:numFmt w:val="lowerRoman"/>
      <w:lvlText w:val="%3."/>
      <w:lvlJc w:val="right"/>
      <w:pPr>
        <w:ind w:left="2160" w:hanging="180"/>
      </w:pPr>
    </w:lvl>
    <w:lvl w:ilvl="3" w:tplc="90B87C3E" w:tentative="1">
      <w:start w:val="1"/>
      <w:numFmt w:val="decimal"/>
      <w:lvlText w:val="%4."/>
      <w:lvlJc w:val="left"/>
      <w:pPr>
        <w:ind w:left="2880" w:hanging="360"/>
      </w:pPr>
    </w:lvl>
    <w:lvl w:ilvl="4" w:tplc="E776200E" w:tentative="1">
      <w:start w:val="1"/>
      <w:numFmt w:val="lowerLetter"/>
      <w:lvlText w:val="%5."/>
      <w:lvlJc w:val="left"/>
      <w:pPr>
        <w:ind w:left="3600" w:hanging="360"/>
      </w:pPr>
    </w:lvl>
    <w:lvl w:ilvl="5" w:tplc="221ABBBE" w:tentative="1">
      <w:start w:val="1"/>
      <w:numFmt w:val="lowerRoman"/>
      <w:lvlText w:val="%6."/>
      <w:lvlJc w:val="right"/>
      <w:pPr>
        <w:ind w:left="4320" w:hanging="180"/>
      </w:pPr>
    </w:lvl>
    <w:lvl w:ilvl="6" w:tplc="FBE2BAEE" w:tentative="1">
      <w:start w:val="1"/>
      <w:numFmt w:val="decimal"/>
      <w:lvlText w:val="%7."/>
      <w:lvlJc w:val="left"/>
      <w:pPr>
        <w:ind w:left="5040" w:hanging="360"/>
      </w:pPr>
    </w:lvl>
    <w:lvl w:ilvl="7" w:tplc="E59C1624" w:tentative="1">
      <w:start w:val="1"/>
      <w:numFmt w:val="lowerLetter"/>
      <w:lvlText w:val="%8."/>
      <w:lvlJc w:val="left"/>
      <w:pPr>
        <w:ind w:left="5760" w:hanging="360"/>
      </w:pPr>
    </w:lvl>
    <w:lvl w:ilvl="8" w:tplc="D9D6827A"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7DEE9C48">
      <w:start w:val="1"/>
      <w:numFmt w:val="bullet"/>
      <w:lvlText w:val=""/>
      <w:lvlJc w:val="left"/>
      <w:pPr>
        <w:ind w:left="1080" w:hanging="360"/>
      </w:pPr>
      <w:rPr>
        <w:rFonts w:ascii="Symbol" w:hAnsi="Symbol" w:hint="default"/>
      </w:rPr>
    </w:lvl>
    <w:lvl w:ilvl="1" w:tplc="125E17A4">
      <w:start w:val="1"/>
      <w:numFmt w:val="lowerLetter"/>
      <w:lvlText w:val="%2."/>
      <w:lvlJc w:val="left"/>
      <w:pPr>
        <w:ind w:left="1800" w:hanging="360"/>
      </w:pPr>
    </w:lvl>
    <w:lvl w:ilvl="2" w:tplc="686C5DE8">
      <w:start w:val="1"/>
      <w:numFmt w:val="lowerRoman"/>
      <w:lvlText w:val="%3."/>
      <w:lvlJc w:val="right"/>
      <w:pPr>
        <w:ind w:left="2520" w:hanging="180"/>
      </w:pPr>
    </w:lvl>
    <w:lvl w:ilvl="3" w:tplc="F6608332">
      <w:start w:val="1"/>
      <w:numFmt w:val="decimal"/>
      <w:lvlText w:val="%4."/>
      <w:lvlJc w:val="left"/>
      <w:pPr>
        <w:ind w:left="3240" w:hanging="360"/>
      </w:pPr>
    </w:lvl>
    <w:lvl w:ilvl="4" w:tplc="8F509C96">
      <w:start w:val="1"/>
      <w:numFmt w:val="lowerLetter"/>
      <w:lvlText w:val="%5."/>
      <w:lvlJc w:val="left"/>
      <w:pPr>
        <w:ind w:left="3960" w:hanging="360"/>
      </w:pPr>
    </w:lvl>
    <w:lvl w:ilvl="5" w:tplc="AB94E86E">
      <w:start w:val="1"/>
      <w:numFmt w:val="lowerRoman"/>
      <w:lvlText w:val="%6."/>
      <w:lvlJc w:val="right"/>
      <w:pPr>
        <w:ind w:left="4680" w:hanging="180"/>
      </w:pPr>
    </w:lvl>
    <w:lvl w:ilvl="6" w:tplc="817E681C">
      <w:start w:val="1"/>
      <w:numFmt w:val="decimal"/>
      <w:lvlText w:val="%7."/>
      <w:lvlJc w:val="left"/>
      <w:pPr>
        <w:ind w:left="5400" w:hanging="360"/>
      </w:pPr>
    </w:lvl>
    <w:lvl w:ilvl="7" w:tplc="74B4AB24">
      <w:start w:val="1"/>
      <w:numFmt w:val="lowerLetter"/>
      <w:lvlText w:val="%8."/>
      <w:lvlJc w:val="left"/>
      <w:pPr>
        <w:ind w:left="6120" w:hanging="360"/>
      </w:pPr>
    </w:lvl>
    <w:lvl w:ilvl="8" w:tplc="F57C45EA">
      <w:start w:val="1"/>
      <w:numFmt w:val="lowerRoman"/>
      <w:lvlText w:val="%9."/>
      <w:lvlJc w:val="right"/>
      <w:pPr>
        <w:ind w:left="6840" w:hanging="180"/>
      </w:pPr>
    </w:lvl>
  </w:abstractNum>
  <w:abstractNum w:abstractNumId="14" w15:restartNumberingAfterBreak="0">
    <w:nsid w:val="3BDB7294"/>
    <w:multiLevelType w:val="hybridMultilevel"/>
    <w:tmpl w:val="4FDC3486"/>
    <w:lvl w:ilvl="0" w:tplc="66567CC2">
      <w:start w:val="1"/>
      <w:numFmt w:val="decimal"/>
      <w:lvlText w:val="%1."/>
      <w:lvlJc w:val="left"/>
      <w:pPr>
        <w:ind w:left="720" w:hanging="360"/>
      </w:pPr>
    </w:lvl>
    <w:lvl w:ilvl="1" w:tplc="7E40F2C0">
      <w:start w:val="1"/>
      <w:numFmt w:val="lowerLetter"/>
      <w:lvlText w:val="%2)"/>
      <w:lvlJc w:val="left"/>
      <w:pPr>
        <w:ind w:left="1800" w:hanging="720"/>
      </w:pPr>
      <w:rPr>
        <w:rFonts w:hint="default"/>
        <w:b w:val="0"/>
      </w:rPr>
    </w:lvl>
    <w:lvl w:ilvl="2" w:tplc="332A24BC" w:tentative="1">
      <w:start w:val="1"/>
      <w:numFmt w:val="lowerRoman"/>
      <w:lvlText w:val="%3."/>
      <w:lvlJc w:val="right"/>
      <w:pPr>
        <w:ind w:left="2160" w:hanging="180"/>
      </w:pPr>
    </w:lvl>
    <w:lvl w:ilvl="3" w:tplc="8B825C48">
      <w:start w:val="1"/>
      <w:numFmt w:val="decimal"/>
      <w:lvlText w:val="%4."/>
      <w:lvlJc w:val="left"/>
      <w:pPr>
        <w:ind w:left="2880" w:hanging="360"/>
      </w:pPr>
    </w:lvl>
    <w:lvl w:ilvl="4" w:tplc="AE34B7D8" w:tentative="1">
      <w:start w:val="1"/>
      <w:numFmt w:val="lowerLetter"/>
      <w:lvlText w:val="%5."/>
      <w:lvlJc w:val="left"/>
      <w:pPr>
        <w:ind w:left="3600" w:hanging="360"/>
      </w:pPr>
    </w:lvl>
    <w:lvl w:ilvl="5" w:tplc="6C9CF3B0">
      <w:start w:val="1"/>
      <w:numFmt w:val="lowerRoman"/>
      <w:lvlText w:val="%6."/>
      <w:lvlJc w:val="right"/>
      <w:pPr>
        <w:ind w:left="4320" w:hanging="180"/>
      </w:pPr>
    </w:lvl>
    <w:lvl w:ilvl="6" w:tplc="4612AD76" w:tentative="1">
      <w:start w:val="1"/>
      <w:numFmt w:val="decimal"/>
      <w:lvlText w:val="%7."/>
      <w:lvlJc w:val="left"/>
      <w:pPr>
        <w:ind w:left="5040" w:hanging="360"/>
      </w:pPr>
    </w:lvl>
    <w:lvl w:ilvl="7" w:tplc="315E6856" w:tentative="1">
      <w:start w:val="1"/>
      <w:numFmt w:val="lowerLetter"/>
      <w:lvlText w:val="%8."/>
      <w:lvlJc w:val="left"/>
      <w:pPr>
        <w:ind w:left="5760" w:hanging="360"/>
      </w:pPr>
    </w:lvl>
    <w:lvl w:ilvl="8" w:tplc="1D549022"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EB362786">
      <w:start w:val="1"/>
      <w:numFmt w:val="decimal"/>
      <w:lvlText w:val="%1."/>
      <w:lvlJc w:val="left"/>
      <w:pPr>
        <w:ind w:left="720" w:hanging="360"/>
      </w:pPr>
      <w:rPr>
        <w:rFonts w:eastAsia="Calibri" w:hint="default"/>
      </w:rPr>
    </w:lvl>
    <w:lvl w:ilvl="1" w:tplc="BF06CF74">
      <w:start w:val="1"/>
      <w:numFmt w:val="lowerLetter"/>
      <w:lvlText w:val="%2."/>
      <w:lvlJc w:val="left"/>
      <w:pPr>
        <w:ind w:left="1440" w:hanging="360"/>
      </w:pPr>
      <w:rPr>
        <w:rFonts w:hint="default"/>
        <w:b/>
        <w:color w:val="auto"/>
      </w:rPr>
    </w:lvl>
    <w:lvl w:ilvl="2" w:tplc="1FE03DE0">
      <w:start w:val="1"/>
      <w:numFmt w:val="lowerRoman"/>
      <w:lvlText w:val="(%3)"/>
      <w:lvlJc w:val="left"/>
      <w:pPr>
        <w:ind w:left="2160" w:hanging="180"/>
      </w:pPr>
      <w:rPr>
        <w:rFonts w:hint="default"/>
        <w:b/>
        <w:bCs/>
      </w:rPr>
    </w:lvl>
    <w:lvl w:ilvl="3" w:tplc="3D24E5EE">
      <w:start w:val="1"/>
      <w:numFmt w:val="decimal"/>
      <w:lvlText w:val="%4."/>
      <w:lvlJc w:val="left"/>
      <w:pPr>
        <w:ind w:left="2880" w:hanging="360"/>
      </w:pPr>
      <w:rPr>
        <w:b/>
      </w:rPr>
    </w:lvl>
    <w:lvl w:ilvl="4" w:tplc="91061B6C">
      <w:start w:val="1"/>
      <w:numFmt w:val="lowerLetter"/>
      <w:lvlText w:val="%5."/>
      <w:lvlJc w:val="left"/>
      <w:pPr>
        <w:ind w:left="3600" w:hanging="360"/>
      </w:pPr>
      <w:rPr>
        <w:b/>
      </w:rPr>
    </w:lvl>
    <w:lvl w:ilvl="5" w:tplc="798201C6">
      <w:start w:val="1"/>
      <w:numFmt w:val="lowerRoman"/>
      <w:lvlText w:val="(%6)"/>
      <w:lvlJc w:val="left"/>
      <w:pPr>
        <w:ind w:left="4860" w:hanging="720"/>
      </w:pPr>
      <w:rPr>
        <w:rFonts w:hint="default"/>
        <w:b/>
        <w:bCs/>
      </w:rPr>
    </w:lvl>
    <w:lvl w:ilvl="6" w:tplc="62F26302">
      <w:start w:val="1"/>
      <w:numFmt w:val="upperRoman"/>
      <w:lvlText w:val="%7."/>
      <w:lvlJc w:val="left"/>
      <w:pPr>
        <w:ind w:left="5400" w:hanging="720"/>
      </w:pPr>
      <w:rPr>
        <w:rFonts w:hint="default"/>
        <w:b/>
        <w:bCs w:val="0"/>
      </w:rPr>
    </w:lvl>
    <w:lvl w:ilvl="7" w:tplc="CB2CDCCE" w:tentative="1">
      <w:start w:val="1"/>
      <w:numFmt w:val="lowerLetter"/>
      <w:lvlText w:val="%8."/>
      <w:lvlJc w:val="left"/>
      <w:pPr>
        <w:ind w:left="5760" w:hanging="360"/>
      </w:pPr>
    </w:lvl>
    <w:lvl w:ilvl="8" w:tplc="6FB265EC"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A526278C">
      <w:start w:val="1"/>
      <w:numFmt w:val="upperLetter"/>
      <w:lvlText w:val="%1."/>
      <w:lvlJc w:val="left"/>
      <w:pPr>
        <w:ind w:left="360" w:hanging="360"/>
      </w:pPr>
      <w:rPr>
        <w:rFonts w:hint="default"/>
      </w:rPr>
    </w:lvl>
    <w:lvl w:ilvl="1" w:tplc="85FC87EA" w:tentative="1">
      <w:start w:val="1"/>
      <w:numFmt w:val="lowerLetter"/>
      <w:lvlText w:val="%2."/>
      <w:lvlJc w:val="left"/>
      <w:pPr>
        <w:ind w:left="1080" w:hanging="360"/>
      </w:pPr>
    </w:lvl>
    <w:lvl w:ilvl="2" w:tplc="8A2C3104" w:tentative="1">
      <w:start w:val="1"/>
      <w:numFmt w:val="lowerRoman"/>
      <w:lvlText w:val="%3."/>
      <w:lvlJc w:val="right"/>
      <w:pPr>
        <w:ind w:left="1800" w:hanging="180"/>
      </w:pPr>
    </w:lvl>
    <w:lvl w:ilvl="3" w:tplc="D8C20E2C" w:tentative="1">
      <w:start w:val="1"/>
      <w:numFmt w:val="decimal"/>
      <w:lvlText w:val="%4."/>
      <w:lvlJc w:val="left"/>
      <w:pPr>
        <w:ind w:left="2520" w:hanging="360"/>
      </w:pPr>
    </w:lvl>
    <w:lvl w:ilvl="4" w:tplc="0854D814" w:tentative="1">
      <w:start w:val="1"/>
      <w:numFmt w:val="lowerLetter"/>
      <w:lvlText w:val="%5."/>
      <w:lvlJc w:val="left"/>
      <w:pPr>
        <w:ind w:left="3240" w:hanging="360"/>
      </w:pPr>
    </w:lvl>
    <w:lvl w:ilvl="5" w:tplc="2DB279C6" w:tentative="1">
      <w:start w:val="1"/>
      <w:numFmt w:val="lowerRoman"/>
      <w:lvlText w:val="%6."/>
      <w:lvlJc w:val="right"/>
      <w:pPr>
        <w:ind w:left="3960" w:hanging="180"/>
      </w:pPr>
    </w:lvl>
    <w:lvl w:ilvl="6" w:tplc="FEDA99C4" w:tentative="1">
      <w:start w:val="1"/>
      <w:numFmt w:val="decimal"/>
      <w:lvlText w:val="%7."/>
      <w:lvlJc w:val="left"/>
      <w:pPr>
        <w:ind w:left="4680" w:hanging="360"/>
      </w:pPr>
    </w:lvl>
    <w:lvl w:ilvl="7" w:tplc="8B5243BA" w:tentative="1">
      <w:start w:val="1"/>
      <w:numFmt w:val="lowerLetter"/>
      <w:lvlText w:val="%8."/>
      <w:lvlJc w:val="left"/>
      <w:pPr>
        <w:ind w:left="5400" w:hanging="360"/>
      </w:pPr>
    </w:lvl>
    <w:lvl w:ilvl="8" w:tplc="B20E53E2"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9A38E118">
      <w:start w:val="1"/>
      <w:numFmt w:val="bullet"/>
      <w:lvlText w:val=""/>
      <w:lvlJc w:val="left"/>
      <w:pPr>
        <w:ind w:left="720" w:hanging="360"/>
      </w:pPr>
      <w:rPr>
        <w:rFonts w:ascii="Symbol" w:hAnsi="Symbol" w:hint="default"/>
      </w:rPr>
    </w:lvl>
    <w:lvl w:ilvl="1" w:tplc="D1007186" w:tentative="1">
      <w:start w:val="1"/>
      <w:numFmt w:val="bullet"/>
      <w:lvlText w:val="o"/>
      <w:lvlJc w:val="left"/>
      <w:pPr>
        <w:ind w:left="1440" w:hanging="360"/>
      </w:pPr>
      <w:rPr>
        <w:rFonts w:ascii="Courier New" w:hAnsi="Courier New" w:cs="Courier New" w:hint="default"/>
      </w:rPr>
    </w:lvl>
    <w:lvl w:ilvl="2" w:tplc="C3FAEE64" w:tentative="1">
      <w:start w:val="1"/>
      <w:numFmt w:val="bullet"/>
      <w:lvlText w:val=""/>
      <w:lvlJc w:val="left"/>
      <w:pPr>
        <w:ind w:left="2160" w:hanging="360"/>
      </w:pPr>
      <w:rPr>
        <w:rFonts w:ascii="Wingdings" w:hAnsi="Wingdings" w:hint="default"/>
      </w:rPr>
    </w:lvl>
    <w:lvl w:ilvl="3" w:tplc="0AE69EF0" w:tentative="1">
      <w:start w:val="1"/>
      <w:numFmt w:val="bullet"/>
      <w:lvlText w:val=""/>
      <w:lvlJc w:val="left"/>
      <w:pPr>
        <w:ind w:left="2880" w:hanging="360"/>
      </w:pPr>
      <w:rPr>
        <w:rFonts w:ascii="Symbol" w:hAnsi="Symbol" w:hint="default"/>
      </w:rPr>
    </w:lvl>
    <w:lvl w:ilvl="4" w:tplc="0720BB42" w:tentative="1">
      <w:start w:val="1"/>
      <w:numFmt w:val="bullet"/>
      <w:lvlText w:val="o"/>
      <w:lvlJc w:val="left"/>
      <w:pPr>
        <w:ind w:left="3600" w:hanging="360"/>
      </w:pPr>
      <w:rPr>
        <w:rFonts w:ascii="Courier New" w:hAnsi="Courier New" w:cs="Courier New" w:hint="default"/>
      </w:rPr>
    </w:lvl>
    <w:lvl w:ilvl="5" w:tplc="4AF050BE" w:tentative="1">
      <w:start w:val="1"/>
      <w:numFmt w:val="bullet"/>
      <w:lvlText w:val=""/>
      <w:lvlJc w:val="left"/>
      <w:pPr>
        <w:ind w:left="4320" w:hanging="360"/>
      </w:pPr>
      <w:rPr>
        <w:rFonts w:ascii="Wingdings" w:hAnsi="Wingdings" w:hint="default"/>
      </w:rPr>
    </w:lvl>
    <w:lvl w:ilvl="6" w:tplc="DBE2F5D4" w:tentative="1">
      <w:start w:val="1"/>
      <w:numFmt w:val="bullet"/>
      <w:lvlText w:val=""/>
      <w:lvlJc w:val="left"/>
      <w:pPr>
        <w:ind w:left="5040" w:hanging="360"/>
      </w:pPr>
      <w:rPr>
        <w:rFonts w:ascii="Symbol" w:hAnsi="Symbol" w:hint="default"/>
      </w:rPr>
    </w:lvl>
    <w:lvl w:ilvl="7" w:tplc="6E729ADE" w:tentative="1">
      <w:start w:val="1"/>
      <w:numFmt w:val="bullet"/>
      <w:lvlText w:val="o"/>
      <w:lvlJc w:val="left"/>
      <w:pPr>
        <w:ind w:left="5760" w:hanging="360"/>
      </w:pPr>
      <w:rPr>
        <w:rFonts w:ascii="Courier New" w:hAnsi="Courier New" w:cs="Courier New" w:hint="default"/>
      </w:rPr>
    </w:lvl>
    <w:lvl w:ilvl="8" w:tplc="C404854C"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986CE83A">
      <w:start w:val="1"/>
      <w:numFmt w:val="bullet"/>
      <w:lvlText w:val=""/>
      <w:lvlJc w:val="left"/>
      <w:pPr>
        <w:ind w:left="720" w:hanging="360"/>
      </w:pPr>
      <w:rPr>
        <w:rFonts w:ascii="Symbol" w:hAnsi="Symbol" w:hint="default"/>
      </w:rPr>
    </w:lvl>
    <w:lvl w:ilvl="1" w:tplc="97FC3D48" w:tentative="1">
      <w:start w:val="1"/>
      <w:numFmt w:val="bullet"/>
      <w:lvlText w:val="o"/>
      <w:lvlJc w:val="left"/>
      <w:pPr>
        <w:ind w:left="1440" w:hanging="360"/>
      </w:pPr>
      <w:rPr>
        <w:rFonts w:ascii="Courier New" w:hAnsi="Courier New" w:cs="Courier New" w:hint="default"/>
      </w:rPr>
    </w:lvl>
    <w:lvl w:ilvl="2" w:tplc="4A5C108C" w:tentative="1">
      <w:start w:val="1"/>
      <w:numFmt w:val="bullet"/>
      <w:lvlText w:val=""/>
      <w:lvlJc w:val="left"/>
      <w:pPr>
        <w:ind w:left="2160" w:hanging="360"/>
      </w:pPr>
      <w:rPr>
        <w:rFonts w:ascii="Wingdings" w:hAnsi="Wingdings" w:hint="default"/>
      </w:rPr>
    </w:lvl>
    <w:lvl w:ilvl="3" w:tplc="0B8AFEC6" w:tentative="1">
      <w:start w:val="1"/>
      <w:numFmt w:val="bullet"/>
      <w:lvlText w:val=""/>
      <w:lvlJc w:val="left"/>
      <w:pPr>
        <w:ind w:left="2880" w:hanging="360"/>
      </w:pPr>
      <w:rPr>
        <w:rFonts w:ascii="Symbol" w:hAnsi="Symbol" w:hint="default"/>
      </w:rPr>
    </w:lvl>
    <w:lvl w:ilvl="4" w:tplc="912EF6E8" w:tentative="1">
      <w:start w:val="1"/>
      <w:numFmt w:val="bullet"/>
      <w:lvlText w:val="o"/>
      <w:lvlJc w:val="left"/>
      <w:pPr>
        <w:ind w:left="3600" w:hanging="360"/>
      </w:pPr>
      <w:rPr>
        <w:rFonts w:ascii="Courier New" w:hAnsi="Courier New" w:cs="Courier New" w:hint="default"/>
      </w:rPr>
    </w:lvl>
    <w:lvl w:ilvl="5" w:tplc="CC103B28" w:tentative="1">
      <w:start w:val="1"/>
      <w:numFmt w:val="bullet"/>
      <w:lvlText w:val=""/>
      <w:lvlJc w:val="left"/>
      <w:pPr>
        <w:ind w:left="4320" w:hanging="360"/>
      </w:pPr>
      <w:rPr>
        <w:rFonts w:ascii="Wingdings" w:hAnsi="Wingdings" w:hint="default"/>
      </w:rPr>
    </w:lvl>
    <w:lvl w:ilvl="6" w:tplc="C7F228CA" w:tentative="1">
      <w:start w:val="1"/>
      <w:numFmt w:val="bullet"/>
      <w:lvlText w:val=""/>
      <w:lvlJc w:val="left"/>
      <w:pPr>
        <w:ind w:left="5040" w:hanging="360"/>
      </w:pPr>
      <w:rPr>
        <w:rFonts w:ascii="Symbol" w:hAnsi="Symbol" w:hint="default"/>
      </w:rPr>
    </w:lvl>
    <w:lvl w:ilvl="7" w:tplc="555AAD7E" w:tentative="1">
      <w:start w:val="1"/>
      <w:numFmt w:val="bullet"/>
      <w:lvlText w:val="o"/>
      <w:lvlJc w:val="left"/>
      <w:pPr>
        <w:ind w:left="5760" w:hanging="360"/>
      </w:pPr>
      <w:rPr>
        <w:rFonts w:ascii="Courier New" w:hAnsi="Courier New" w:cs="Courier New" w:hint="default"/>
      </w:rPr>
    </w:lvl>
    <w:lvl w:ilvl="8" w:tplc="4D4E17D2"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96D283FA">
      <w:start w:val="1"/>
      <w:numFmt w:val="bullet"/>
      <w:lvlText w:val=""/>
      <w:lvlJc w:val="left"/>
      <w:pPr>
        <w:ind w:left="720" w:hanging="360"/>
      </w:pPr>
      <w:rPr>
        <w:rFonts w:ascii="Symbol" w:hAnsi="Symbol" w:hint="default"/>
      </w:rPr>
    </w:lvl>
    <w:lvl w:ilvl="1" w:tplc="7B90EAC4" w:tentative="1">
      <w:start w:val="1"/>
      <w:numFmt w:val="bullet"/>
      <w:lvlText w:val="o"/>
      <w:lvlJc w:val="left"/>
      <w:pPr>
        <w:ind w:left="1440" w:hanging="360"/>
      </w:pPr>
      <w:rPr>
        <w:rFonts w:ascii="Courier New" w:hAnsi="Courier New" w:cs="Courier New" w:hint="default"/>
      </w:rPr>
    </w:lvl>
    <w:lvl w:ilvl="2" w:tplc="02A60890" w:tentative="1">
      <w:start w:val="1"/>
      <w:numFmt w:val="bullet"/>
      <w:lvlText w:val=""/>
      <w:lvlJc w:val="left"/>
      <w:pPr>
        <w:ind w:left="2160" w:hanging="360"/>
      </w:pPr>
      <w:rPr>
        <w:rFonts w:ascii="Wingdings" w:hAnsi="Wingdings" w:hint="default"/>
      </w:rPr>
    </w:lvl>
    <w:lvl w:ilvl="3" w:tplc="EFBEE43A" w:tentative="1">
      <w:start w:val="1"/>
      <w:numFmt w:val="bullet"/>
      <w:lvlText w:val=""/>
      <w:lvlJc w:val="left"/>
      <w:pPr>
        <w:ind w:left="2880" w:hanging="360"/>
      </w:pPr>
      <w:rPr>
        <w:rFonts w:ascii="Symbol" w:hAnsi="Symbol" w:hint="default"/>
      </w:rPr>
    </w:lvl>
    <w:lvl w:ilvl="4" w:tplc="2F36B238" w:tentative="1">
      <w:start w:val="1"/>
      <w:numFmt w:val="bullet"/>
      <w:lvlText w:val="o"/>
      <w:lvlJc w:val="left"/>
      <w:pPr>
        <w:ind w:left="3600" w:hanging="360"/>
      </w:pPr>
      <w:rPr>
        <w:rFonts w:ascii="Courier New" w:hAnsi="Courier New" w:cs="Courier New" w:hint="default"/>
      </w:rPr>
    </w:lvl>
    <w:lvl w:ilvl="5" w:tplc="BCFC8468" w:tentative="1">
      <w:start w:val="1"/>
      <w:numFmt w:val="bullet"/>
      <w:lvlText w:val=""/>
      <w:lvlJc w:val="left"/>
      <w:pPr>
        <w:ind w:left="4320" w:hanging="360"/>
      </w:pPr>
      <w:rPr>
        <w:rFonts w:ascii="Wingdings" w:hAnsi="Wingdings" w:hint="default"/>
      </w:rPr>
    </w:lvl>
    <w:lvl w:ilvl="6" w:tplc="0854CC9A" w:tentative="1">
      <w:start w:val="1"/>
      <w:numFmt w:val="bullet"/>
      <w:lvlText w:val=""/>
      <w:lvlJc w:val="left"/>
      <w:pPr>
        <w:ind w:left="5040" w:hanging="360"/>
      </w:pPr>
      <w:rPr>
        <w:rFonts w:ascii="Symbol" w:hAnsi="Symbol" w:hint="default"/>
      </w:rPr>
    </w:lvl>
    <w:lvl w:ilvl="7" w:tplc="EFA42002" w:tentative="1">
      <w:start w:val="1"/>
      <w:numFmt w:val="bullet"/>
      <w:lvlText w:val="o"/>
      <w:lvlJc w:val="left"/>
      <w:pPr>
        <w:ind w:left="5760" w:hanging="360"/>
      </w:pPr>
      <w:rPr>
        <w:rFonts w:ascii="Courier New" w:hAnsi="Courier New" w:cs="Courier New" w:hint="default"/>
      </w:rPr>
    </w:lvl>
    <w:lvl w:ilvl="8" w:tplc="73B08838"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6DF4C1F6">
      <w:start w:val="2"/>
      <w:numFmt w:val="lowerLetter"/>
      <w:lvlText w:val="%1."/>
      <w:lvlJc w:val="left"/>
      <w:pPr>
        <w:ind w:left="1440" w:hanging="360"/>
      </w:pPr>
      <w:rPr>
        <w:rFonts w:hint="default"/>
        <w:b/>
      </w:rPr>
    </w:lvl>
    <w:lvl w:ilvl="1" w:tplc="9836F442" w:tentative="1">
      <w:start w:val="1"/>
      <w:numFmt w:val="lowerLetter"/>
      <w:lvlText w:val="%2."/>
      <w:lvlJc w:val="left"/>
      <w:pPr>
        <w:ind w:left="1440" w:hanging="360"/>
      </w:pPr>
    </w:lvl>
    <w:lvl w:ilvl="2" w:tplc="151AF020" w:tentative="1">
      <w:start w:val="1"/>
      <w:numFmt w:val="lowerRoman"/>
      <w:lvlText w:val="%3."/>
      <w:lvlJc w:val="right"/>
      <w:pPr>
        <w:ind w:left="2160" w:hanging="180"/>
      </w:pPr>
    </w:lvl>
    <w:lvl w:ilvl="3" w:tplc="BEF4261A" w:tentative="1">
      <w:start w:val="1"/>
      <w:numFmt w:val="decimal"/>
      <w:lvlText w:val="%4."/>
      <w:lvlJc w:val="left"/>
      <w:pPr>
        <w:ind w:left="2880" w:hanging="360"/>
      </w:pPr>
    </w:lvl>
    <w:lvl w:ilvl="4" w:tplc="F5D6DABE" w:tentative="1">
      <w:start w:val="1"/>
      <w:numFmt w:val="lowerLetter"/>
      <w:lvlText w:val="%5."/>
      <w:lvlJc w:val="left"/>
      <w:pPr>
        <w:ind w:left="3600" w:hanging="360"/>
      </w:pPr>
    </w:lvl>
    <w:lvl w:ilvl="5" w:tplc="5186D452" w:tentative="1">
      <w:start w:val="1"/>
      <w:numFmt w:val="lowerRoman"/>
      <w:lvlText w:val="%6."/>
      <w:lvlJc w:val="right"/>
      <w:pPr>
        <w:ind w:left="4320" w:hanging="180"/>
      </w:pPr>
    </w:lvl>
    <w:lvl w:ilvl="6" w:tplc="100284B0" w:tentative="1">
      <w:start w:val="1"/>
      <w:numFmt w:val="decimal"/>
      <w:lvlText w:val="%7."/>
      <w:lvlJc w:val="left"/>
      <w:pPr>
        <w:ind w:left="5040" w:hanging="360"/>
      </w:pPr>
    </w:lvl>
    <w:lvl w:ilvl="7" w:tplc="BB26336C" w:tentative="1">
      <w:start w:val="1"/>
      <w:numFmt w:val="lowerLetter"/>
      <w:lvlText w:val="%8."/>
      <w:lvlJc w:val="left"/>
      <w:pPr>
        <w:ind w:left="5760" w:hanging="360"/>
      </w:pPr>
    </w:lvl>
    <w:lvl w:ilvl="8" w:tplc="168AEFCC"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9A342BBA">
      <w:start w:val="1"/>
      <w:numFmt w:val="bullet"/>
      <w:lvlText w:val=""/>
      <w:lvlJc w:val="left"/>
      <w:pPr>
        <w:ind w:left="734" w:hanging="360"/>
      </w:pPr>
      <w:rPr>
        <w:rFonts w:ascii="Symbol" w:hAnsi="Symbol" w:hint="default"/>
        <w:sz w:val="18"/>
      </w:rPr>
    </w:lvl>
    <w:lvl w:ilvl="1" w:tplc="F5CE99DA">
      <w:start w:val="1"/>
      <w:numFmt w:val="bullet"/>
      <w:lvlText w:val="o"/>
      <w:lvlJc w:val="left"/>
      <w:pPr>
        <w:ind w:left="1454" w:hanging="360"/>
      </w:pPr>
      <w:rPr>
        <w:rFonts w:ascii="Courier New" w:hAnsi="Courier New" w:cs="Courier New" w:hint="default"/>
      </w:rPr>
    </w:lvl>
    <w:lvl w:ilvl="2" w:tplc="E17E365C" w:tentative="1">
      <w:start w:val="1"/>
      <w:numFmt w:val="bullet"/>
      <w:lvlText w:val=""/>
      <w:lvlJc w:val="left"/>
      <w:pPr>
        <w:ind w:left="2174" w:hanging="360"/>
      </w:pPr>
      <w:rPr>
        <w:rFonts w:ascii="Wingdings" w:hAnsi="Wingdings" w:hint="default"/>
      </w:rPr>
    </w:lvl>
    <w:lvl w:ilvl="3" w:tplc="ED28BEF8" w:tentative="1">
      <w:start w:val="1"/>
      <w:numFmt w:val="bullet"/>
      <w:lvlText w:val=""/>
      <w:lvlJc w:val="left"/>
      <w:pPr>
        <w:ind w:left="2894" w:hanging="360"/>
      </w:pPr>
      <w:rPr>
        <w:rFonts w:ascii="Symbol" w:hAnsi="Symbol" w:hint="default"/>
      </w:rPr>
    </w:lvl>
    <w:lvl w:ilvl="4" w:tplc="D8BAE5BA" w:tentative="1">
      <w:start w:val="1"/>
      <w:numFmt w:val="bullet"/>
      <w:lvlText w:val="o"/>
      <w:lvlJc w:val="left"/>
      <w:pPr>
        <w:ind w:left="3614" w:hanging="360"/>
      </w:pPr>
      <w:rPr>
        <w:rFonts w:ascii="Courier New" w:hAnsi="Courier New" w:cs="Courier New" w:hint="default"/>
      </w:rPr>
    </w:lvl>
    <w:lvl w:ilvl="5" w:tplc="BCDCBE06" w:tentative="1">
      <w:start w:val="1"/>
      <w:numFmt w:val="bullet"/>
      <w:lvlText w:val=""/>
      <w:lvlJc w:val="left"/>
      <w:pPr>
        <w:ind w:left="4334" w:hanging="360"/>
      </w:pPr>
      <w:rPr>
        <w:rFonts w:ascii="Wingdings" w:hAnsi="Wingdings" w:hint="default"/>
      </w:rPr>
    </w:lvl>
    <w:lvl w:ilvl="6" w:tplc="A6B4F5FA" w:tentative="1">
      <w:start w:val="1"/>
      <w:numFmt w:val="bullet"/>
      <w:lvlText w:val=""/>
      <w:lvlJc w:val="left"/>
      <w:pPr>
        <w:ind w:left="5054" w:hanging="360"/>
      </w:pPr>
      <w:rPr>
        <w:rFonts w:ascii="Symbol" w:hAnsi="Symbol" w:hint="default"/>
      </w:rPr>
    </w:lvl>
    <w:lvl w:ilvl="7" w:tplc="40347C3E" w:tentative="1">
      <w:start w:val="1"/>
      <w:numFmt w:val="bullet"/>
      <w:lvlText w:val="o"/>
      <w:lvlJc w:val="left"/>
      <w:pPr>
        <w:ind w:left="5774" w:hanging="360"/>
      </w:pPr>
      <w:rPr>
        <w:rFonts w:ascii="Courier New" w:hAnsi="Courier New" w:cs="Courier New" w:hint="default"/>
      </w:rPr>
    </w:lvl>
    <w:lvl w:ilvl="8" w:tplc="E2707772"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EF4E3B3E">
      <w:start w:val="1"/>
      <w:numFmt w:val="bullet"/>
      <w:lvlText w:val=""/>
      <w:lvlJc w:val="left"/>
      <w:pPr>
        <w:ind w:left="720" w:hanging="360"/>
      </w:pPr>
      <w:rPr>
        <w:rFonts w:ascii="Symbol" w:hAnsi="Symbol" w:hint="default"/>
      </w:rPr>
    </w:lvl>
    <w:lvl w:ilvl="1" w:tplc="1B5E2BE4">
      <w:start w:val="1"/>
      <w:numFmt w:val="bullet"/>
      <w:lvlText w:val="o"/>
      <w:lvlJc w:val="left"/>
      <w:pPr>
        <w:ind w:left="1440" w:hanging="360"/>
      </w:pPr>
      <w:rPr>
        <w:rFonts w:ascii="Courier New" w:hAnsi="Courier New" w:cs="Courier New" w:hint="default"/>
      </w:rPr>
    </w:lvl>
    <w:lvl w:ilvl="2" w:tplc="44420DCE" w:tentative="1">
      <w:start w:val="1"/>
      <w:numFmt w:val="bullet"/>
      <w:lvlText w:val=""/>
      <w:lvlJc w:val="left"/>
      <w:pPr>
        <w:ind w:left="2160" w:hanging="360"/>
      </w:pPr>
      <w:rPr>
        <w:rFonts w:ascii="Wingdings" w:hAnsi="Wingdings" w:hint="default"/>
      </w:rPr>
    </w:lvl>
    <w:lvl w:ilvl="3" w:tplc="1100B288" w:tentative="1">
      <w:start w:val="1"/>
      <w:numFmt w:val="bullet"/>
      <w:lvlText w:val=""/>
      <w:lvlJc w:val="left"/>
      <w:pPr>
        <w:ind w:left="2880" w:hanging="360"/>
      </w:pPr>
      <w:rPr>
        <w:rFonts w:ascii="Symbol" w:hAnsi="Symbol" w:hint="default"/>
      </w:rPr>
    </w:lvl>
    <w:lvl w:ilvl="4" w:tplc="8530E080" w:tentative="1">
      <w:start w:val="1"/>
      <w:numFmt w:val="bullet"/>
      <w:lvlText w:val="o"/>
      <w:lvlJc w:val="left"/>
      <w:pPr>
        <w:ind w:left="3600" w:hanging="360"/>
      </w:pPr>
      <w:rPr>
        <w:rFonts w:ascii="Courier New" w:hAnsi="Courier New" w:cs="Courier New" w:hint="default"/>
      </w:rPr>
    </w:lvl>
    <w:lvl w:ilvl="5" w:tplc="1E168F20" w:tentative="1">
      <w:start w:val="1"/>
      <w:numFmt w:val="bullet"/>
      <w:lvlText w:val=""/>
      <w:lvlJc w:val="left"/>
      <w:pPr>
        <w:ind w:left="4320" w:hanging="360"/>
      </w:pPr>
      <w:rPr>
        <w:rFonts w:ascii="Wingdings" w:hAnsi="Wingdings" w:hint="default"/>
      </w:rPr>
    </w:lvl>
    <w:lvl w:ilvl="6" w:tplc="29421A94" w:tentative="1">
      <w:start w:val="1"/>
      <w:numFmt w:val="bullet"/>
      <w:lvlText w:val=""/>
      <w:lvlJc w:val="left"/>
      <w:pPr>
        <w:ind w:left="5040" w:hanging="360"/>
      </w:pPr>
      <w:rPr>
        <w:rFonts w:ascii="Symbol" w:hAnsi="Symbol" w:hint="default"/>
      </w:rPr>
    </w:lvl>
    <w:lvl w:ilvl="7" w:tplc="24A097A8" w:tentative="1">
      <w:start w:val="1"/>
      <w:numFmt w:val="bullet"/>
      <w:lvlText w:val="o"/>
      <w:lvlJc w:val="left"/>
      <w:pPr>
        <w:ind w:left="5760" w:hanging="360"/>
      </w:pPr>
      <w:rPr>
        <w:rFonts w:ascii="Courier New" w:hAnsi="Courier New" w:cs="Courier New" w:hint="default"/>
      </w:rPr>
    </w:lvl>
    <w:lvl w:ilvl="8" w:tplc="A5DEAEE4"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4F504686">
      <w:start w:val="2"/>
      <w:numFmt w:val="bullet"/>
      <w:lvlText w:val="-"/>
      <w:lvlJc w:val="left"/>
      <w:pPr>
        <w:ind w:left="405" w:hanging="360"/>
      </w:pPr>
      <w:rPr>
        <w:rFonts w:ascii="Calibri" w:eastAsiaTheme="minorHAnsi" w:hAnsi="Calibri" w:cstheme="minorBidi" w:hint="default"/>
      </w:rPr>
    </w:lvl>
    <w:lvl w:ilvl="1" w:tplc="F3B2A55E" w:tentative="1">
      <w:start w:val="1"/>
      <w:numFmt w:val="bullet"/>
      <w:lvlText w:val="o"/>
      <w:lvlJc w:val="left"/>
      <w:pPr>
        <w:ind w:left="1125" w:hanging="360"/>
      </w:pPr>
      <w:rPr>
        <w:rFonts w:ascii="Courier New" w:hAnsi="Courier New" w:cs="Courier New" w:hint="default"/>
      </w:rPr>
    </w:lvl>
    <w:lvl w:ilvl="2" w:tplc="AE86FAFC" w:tentative="1">
      <w:start w:val="1"/>
      <w:numFmt w:val="bullet"/>
      <w:lvlText w:val=""/>
      <w:lvlJc w:val="left"/>
      <w:pPr>
        <w:ind w:left="1845" w:hanging="360"/>
      </w:pPr>
      <w:rPr>
        <w:rFonts w:ascii="Wingdings" w:hAnsi="Wingdings" w:hint="default"/>
      </w:rPr>
    </w:lvl>
    <w:lvl w:ilvl="3" w:tplc="4AD2ABE0" w:tentative="1">
      <w:start w:val="1"/>
      <w:numFmt w:val="bullet"/>
      <w:lvlText w:val=""/>
      <w:lvlJc w:val="left"/>
      <w:pPr>
        <w:ind w:left="2565" w:hanging="360"/>
      </w:pPr>
      <w:rPr>
        <w:rFonts w:ascii="Symbol" w:hAnsi="Symbol" w:hint="default"/>
      </w:rPr>
    </w:lvl>
    <w:lvl w:ilvl="4" w:tplc="32A8E154" w:tentative="1">
      <w:start w:val="1"/>
      <w:numFmt w:val="bullet"/>
      <w:lvlText w:val="o"/>
      <w:lvlJc w:val="left"/>
      <w:pPr>
        <w:ind w:left="3285" w:hanging="360"/>
      </w:pPr>
      <w:rPr>
        <w:rFonts w:ascii="Courier New" w:hAnsi="Courier New" w:cs="Courier New" w:hint="default"/>
      </w:rPr>
    </w:lvl>
    <w:lvl w:ilvl="5" w:tplc="F60CB68A" w:tentative="1">
      <w:start w:val="1"/>
      <w:numFmt w:val="bullet"/>
      <w:lvlText w:val=""/>
      <w:lvlJc w:val="left"/>
      <w:pPr>
        <w:ind w:left="4005" w:hanging="360"/>
      </w:pPr>
      <w:rPr>
        <w:rFonts w:ascii="Wingdings" w:hAnsi="Wingdings" w:hint="default"/>
      </w:rPr>
    </w:lvl>
    <w:lvl w:ilvl="6" w:tplc="5F4A1CF6" w:tentative="1">
      <w:start w:val="1"/>
      <w:numFmt w:val="bullet"/>
      <w:lvlText w:val=""/>
      <w:lvlJc w:val="left"/>
      <w:pPr>
        <w:ind w:left="4725" w:hanging="360"/>
      </w:pPr>
      <w:rPr>
        <w:rFonts w:ascii="Symbol" w:hAnsi="Symbol" w:hint="default"/>
      </w:rPr>
    </w:lvl>
    <w:lvl w:ilvl="7" w:tplc="69BCD858" w:tentative="1">
      <w:start w:val="1"/>
      <w:numFmt w:val="bullet"/>
      <w:lvlText w:val="o"/>
      <w:lvlJc w:val="left"/>
      <w:pPr>
        <w:ind w:left="5445" w:hanging="360"/>
      </w:pPr>
      <w:rPr>
        <w:rFonts w:ascii="Courier New" w:hAnsi="Courier New" w:cs="Courier New" w:hint="default"/>
      </w:rPr>
    </w:lvl>
    <w:lvl w:ilvl="8" w:tplc="23ACD116"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0F29D22">
      <w:start w:val="1"/>
      <w:numFmt w:val="bullet"/>
      <w:lvlText w:val=""/>
      <w:lvlJc w:val="left"/>
      <w:pPr>
        <w:ind w:left="878" w:hanging="360"/>
      </w:pPr>
      <w:rPr>
        <w:rFonts w:ascii="Symbol" w:hAnsi="Symbol" w:hint="default"/>
      </w:rPr>
    </w:lvl>
    <w:lvl w:ilvl="1" w:tplc="9432B386" w:tentative="1">
      <w:start w:val="1"/>
      <w:numFmt w:val="bullet"/>
      <w:lvlText w:val="o"/>
      <w:lvlJc w:val="left"/>
      <w:pPr>
        <w:ind w:left="1598" w:hanging="360"/>
      </w:pPr>
      <w:rPr>
        <w:rFonts w:ascii="Courier New" w:hAnsi="Courier New" w:cs="Courier New" w:hint="default"/>
      </w:rPr>
    </w:lvl>
    <w:lvl w:ilvl="2" w:tplc="885244D4" w:tentative="1">
      <w:start w:val="1"/>
      <w:numFmt w:val="bullet"/>
      <w:lvlText w:val=""/>
      <w:lvlJc w:val="left"/>
      <w:pPr>
        <w:ind w:left="2318" w:hanging="360"/>
      </w:pPr>
      <w:rPr>
        <w:rFonts w:ascii="Wingdings" w:hAnsi="Wingdings" w:hint="default"/>
      </w:rPr>
    </w:lvl>
    <w:lvl w:ilvl="3" w:tplc="D3760718" w:tentative="1">
      <w:start w:val="1"/>
      <w:numFmt w:val="bullet"/>
      <w:lvlText w:val=""/>
      <w:lvlJc w:val="left"/>
      <w:pPr>
        <w:ind w:left="3038" w:hanging="360"/>
      </w:pPr>
      <w:rPr>
        <w:rFonts w:ascii="Symbol" w:hAnsi="Symbol" w:hint="default"/>
      </w:rPr>
    </w:lvl>
    <w:lvl w:ilvl="4" w:tplc="7792B298" w:tentative="1">
      <w:start w:val="1"/>
      <w:numFmt w:val="bullet"/>
      <w:lvlText w:val="o"/>
      <w:lvlJc w:val="left"/>
      <w:pPr>
        <w:ind w:left="3758" w:hanging="360"/>
      </w:pPr>
      <w:rPr>
        <w:rFonts w:ascii="Courier New" w:hAnsi="Courier New" w:cs="Courier New" w:hint="default"/>
      </w:rPr>
    </w:lvl>
    <w:lvl w:ilvl="5" w:tplc="18B2CE7C" w:tentative="1">
      <w:start w:val="1"/>
      <w:numFmt w:val="bullet"/>
      <w:lvlText w:val=""/>
      <w:lvlJc w:val="left"/>
      <w:pPr>
        <w:ind w:left="4478" w:hanging="360"/>
      </w:pPr>
      <w:rPr>
        <w:rFonts w:ascii="Wingdings" w:hAnsi="Wingdings" w:hint="default"/>
      </w:rPr>
    </w:lvl>
    <w:lvl w:ilvl="6" w:tplc="FBB25D7A" w:tentative="1">
      <w:start w:val="1"/>
      <w:numFmt w:val="bullet"/>
      <w:lvlText w:val=""/>
      <w:lvlJc w:val="left"/>
      <w:pPr>
        <w:ind w:left="5198" w:hanging="360"/>
      </w:pPr>
      <w:rPr>
        <w:rFonts w:ascii="Symbol" w:hAnsi="Symbol" w:hint="default"/>
      </w:rPr>
    </w:lvl>
    <w:lvl w:ilvl="7" w:tplc="80E0905C" w:tentative="1">
      <w:start w:val="1"/>
      <w:numFmt w:val="bullet"/>
      <w:lvlText w:val="o"/>
      <w:lvlJc w:val="left"/>
      <w:pPr>
        <w:ind w:left="5918" w:hanging="360"/>
      </w:pPr>
      <w:rPr>
        <w:rFonts w:ascii="Courier New" w:hAnsi="Courier New" w:cs="Courier New" w:hint="default"/>
      </w:rPr>
    </w:lvl>
    <w:lvl w:ilvl="8" w:tplc="89586E56"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BBD6999A">
      <w:start w:val="1"/>
      <w:numFmt w:val="bullet"/>
      <w:lvlText w:val=""/>
      <w:lvlJc w:val="left"/>
      <w:pPr>
        <w:ind w:left="720" w:hanging="360"/>
      </w:pPr>
      <w:rPr>
        <w:rFonts w:ascii="Symbol" w:hAnsi="Symbol" w:hint="default"/>
      </w:rPr>
    </w:lvl>
    <w:lvl w:ilvl="1" w:tplc="4A225880" w:tentative="1">
      <w:start w:val="1"/>
      <w:numFmt w:val="bullet"/>
      <w:lvlText w:val="o"/>
      <w:lvlJc w:val="left"/>
      <w:pPr>
        <w:ind w:left="1440" w:hanging="360"/>
      </w:pPr>
      <w:rPr>
        <w:rFonts w:ascii="Courier New" w:hAnsi="Courier New" w:cs="Courier New" w:hint="default"/>
      </w:rPr>
    </w:lvl>
    <w:lvl w:ilvl="2" w:tplc="BC0A6C48" w:tentative="1">
      <w:start w:val="1"/>
      <w:numFmt w:val="bullet"/>
      <w:lvlText w:val=""/>
      <w:lvlJc w:val="left"/>
      <w:pPr>
        <w:ind w:left="2160" w:hanging="360"/>
      </w:pPr>
      <w:rPr>
        <w:rFonts w:ascii="Wingdings" w:hAnsi="Wingdings" w:hint="default"/>
      </w:rPr>
    </w:lvl>
    <w:lvl w:ilvl="3" w:tplc="85B030D4" w:tentative="1">
      <w:start w:val="1"/>
      <w:numFmt w:val="bullet"/>
      <w:lvlText w:val=""/>
      <w:lvlJc w:val="left"/>
      <w:pPr>
        <w:ind w:left="2880" w:hanging="360"/>
      </w:pPr>
      <w:rPr>
        <w:rFonts w:ascii="Symbol" w:hAnsi="Symbol" w:hint="default"/>
      </w:rPr>
    </w:lvl>
    <w:lvl w:ilvl="4" w:tplc="9710E7F2" w:tentative="1">
      <w:start w:val="1"/>
      <w:numFmt w:val="bullet"/>
      <w:lvlText w:val="o"/>
      <w:lvlJc w:val="left"/>
      <w:pPr>
        <w:ind w:left="3600" w:hanging="360"/>
      </w:pPr>
      <w:rPr>
        <w:rFonts w:ascii="Courier New" w:hAnsi="Courier New" w:cs="Courier New" w:hint="default"/>
      </w:rPr>
    </w:lvl>
    <w:lvl w:ilvl="5" w:tplc="CC4E5F92" w:tentative="1">
      <w:start w:val="1"/>
      <w:numFmt w:val="bullet"/>
      <w:lvlText w:val=""/>
      <w:lvlJc w:val="left"/>
      <w:pPr>
        <w:ind w:left="4320" w:hanging="360"/>
      </w:pPr>
      <w:rPr>
        <w:rFonts w:ascii="Wingdings" w:hAnsi="Wingdings" w:hint="default"/>
      </w:rPr>
    </w:lvl>
    <w:lvl w:ilvl="6" w:tplc="DDF24910" w:tentative="1">
      <w:start w:val="1"/>
      <w:numFmt w:val="bullet"/>
      <w:lvlText w:val=""/>
      <w:lvlJc w:val="left"/>
      <w:pPr>
        <w:ind w:left="5040" w:hanging="360"/>
      </w:pPr>
      <w:rPr>
        <w:rFonts w:ascii="Symbol" w:hAnsi="Symbol" w:hint="default"/>
      </w:rPr>
    </w:lvl>
    <w:lvl w:ilvl="7" w:tplc="4BCC5586" w:tentative="1">
      <w:start w:val="1"/>
      <w:numFmt w:val="bullet"/>
      <w:lvlText w:val="o"/>
      <w:lvlJc w:val="left"/>
      <w:pPr>
        <w:ind w:left="5760" w:hanging="360"/>
      </w:pPr>
      <w:rPr>
        <w:rFonts w:ascii="Courier New" w:hAnsi="Courier New" w:cs="Courier New" w:hint="default"/>
      </w:rPr>
    </w:lvl>
    <w:lvl w:ilvl="8" w:tplc="479EE6D8"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A3E894FE">
      <w:start w:val="1"/>
      <w:numFmt w:val="bullet"/>
      <w:lvlText w:val=""/>
      <w:lvlJc w:val="left"/>
      <w:pPr>
        <w:ind w:left="360" w:hanging="360"/>
      </w:pPr>
      <w:rPr>
        <w:rFonts w:ascii="Symbol" w:hAnsi="Symbol" w:hint="default"/>
      </w:rPr>
    </w:lvl>
    <w:lvl w:ilvl="1" w:tplc="64A6C1FE" w:tentative="1">
      <w:start w:val="1"/>
      <w:numFmt w:val="bullet"/>
      <w:lvlText w:val="o"/>
      <w:lvlJc w:val="left"/>
      <w:pPr>
        <w:ind w:left="1080" w:hanging="360"/>
      </w:pPr>
      <w:rPr>
        <w:rFonts w:ascii="Courier New" w:hAnsi="Courier New" w:cs="Courier New" w:hint="default"/>
      </w:rPr>
    </w:lvl>
    <w:lvl w:ilvl="2" w:tplc="CE2263F4" w:tentative="1">
      <w:start w:val="1"/>
      <w:numFmt w:val="bullet"/>
      <w:lvlText w:val=""/>
      <w:lvlJc w:val="left"/>
      <w:pPr>
        <w:ind w:left="1800" w:hanging="360"/>
      </w:pPr>
      <w:rPr>
        <w:rFonts w:ascii="Wingdings" w:hAnsi="Wingdings" w:hint="default"/>
      </w:rPr>
    </w:lvl>
    <w:lvl w:ilvl="3" w:tplc="FDAA21CA" w:tentative="1">
      <w:start w:val="1"/>
      <w:numFmt w:val="bullet"/>
      <w:lvlText w:val=""/>
      <w:lvlJc w:val="left"/>
      <w:pPr>
        <w:ind w:left="2520" w:hanging="360"/>
      </w:pPr>
      <w:rPr>
        <w:rFonts w:ascii="Symbol" w:hAnsi="Symbol" w:hint="default"/>
      </w:rPr>
    </w:lvl>
    <w:lvl w:ilvl="4" w:tplc="A3BC0284" w:tentative="1">
      <w:start w:val="1"/>
      <w:numFmt w:val="bullet"/>
      <w:lvlText w:val="o"/>
      <w:lvlJc w:val="left"/>
      <w:pPr>
        <w:ind w:left="3240" w:hanging="360"/>
      </w:pPr>
      <w:rPr>
        <w:rFonts w:ascii="Courier New" w:hAnsi="Courier New" w:cs="Courier New" w:hint="default"/>
      </w:rPr>
    </w:lvl>
    <w:lvl w:ilvl="5" w:tplc="FC2E01FA" w:tentative="1">
      <w:start w:val="1"/>
      <w:numFmt w:val="bullet"/>
      <w:lvlText w:val=""/>
      <w:lvlJc w:val="left"/>
      <w:pPr>
        <w:ind w:left="3960" w:hanging="360"/>
      </w:pPr>
      <w:rPr>
        <w:rFonts w:ascii="Wingdings" w:hAnsi="Wingdings" w:hint="default"/>
      </w:rPr>
    </w:lvl>
    <w:lvl w:ilvl="6" w:tplc="274CE9BE" w:tentative="1">
      <w:start w:val="1"/>
      <w:numFmt w:val="bullet"/>
      <w:lvlText w:val=""/>
      <w:lvlJc w:val="left"/>
      <w:pPr>
        <w:ind w:left="4680" w:hanging="360"/>
      </w:pPr>
      <w:rPr>
        <w:rFonts w:ascii="Symbol" w:hAnsi="Symbol" w:hint="default"/>
      </w:rPr>
    </w:lvl>
    <w:lvl w:ilvl="7" w:tplc="A3B4C848" w:tentative="1">
      <w:start w:val="1"/>
      <w:numFmt w:val="bullet"/>
      <w:lvlText w:val="o"/>
      <w:lvlJc w:val="left"/>
      <w:pPr>
        <w:ind w:left="5400" w:hanging="360"/>
      </w:pPr>
      <w:rPr>
        <w:rFonts w:ascii="Courier New" w:hAnsi="Courier New" w:cs="Courier New" w:hint="default"/>
      </w:rPr>
    </w:lvl>
    <w:lvl w:ilvl="8" w:tplc="1A627EFE"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D0EC8BD8">
      <w:start w:val="1"/>
      <w:numFmt w:val="lowerRoman"/>
      <w:lvlText w:val="(%1)"/>
      <w:lvlJc w:val="right"/>
      <w:pPr>
        <w:ind w:left="720" w:hanging="360"/>
      </w:pPr>
      <w:rPr>
        <w:rFonts w:ascii="Arial" w:eastAsia="MS Mincho" w:hAnsi="Arial" w:cs="Arial"/>
        <w:b/>
        <w:bCs w:val="0"/>
      </w:rPr>
    </w:lvl>
    <w:lvl w:ilvl="1" w:tplc="7EDE8F44">
      <w:start w:val="1"/>
      <w:numFmt w:val="lowerLetter"/>
      <w:lvlText w:val="%2."/>
      <w:lvlJc w:val="left"/>
      <w:pPr>
        <w:ind w:left="1440" w:hanging="360"/>
      </w:pPr>
    </w:lvl>
    <w:lvl w:ilvl="2" w:tplc="8BD02C3A">
      <w:start w:val="1"/>
      <w:numFmt w:val="lowerRoman"/>
      <w:lvlText w:val="%3."/>
      <w:lvlJc w:val="right"/>
      <w:pPr>
        <w:ind w:left="2160" w:hanging="180"/>
      </w:pPr>
    </w:lvl>
    <w:lvl w:ilvl="3" w:tplc="F1E683E8">
      <w:start w:val="1"/>
      <w:numFmt w:val="decimal"/>
      <w:lvlText w:val="%4."/>
      <w:lvlJc w:val="left"/>
      <w:pPr>
        <w:ind w:left="2880" w:hanging="360"/>
      </w:pPr>
    </w:lvl>
    <w:lvl w:ilvl="4" w:tplc="BE8EC9DE">
      <w:start w:val="1"/>
      <w:numFmt w:val="lowerLetter"/>
      <w:lvlText w:val="%5."/>
      <w:lvlJc w:val="left"/>
      <w:pPr>
        <w:ind w:left="3600" w:hanging="360"/>
      </w:pPr>
    </w:lvl>
    <w:lvl w:ilvl="5" w:tplc="D2885552" w:tentative="1">
      <w:start w:val="1"/>
      <w:numFmt w:val="lowerRoman"/>
      <w:lvlText w:val="%6."/>
      <w:lvlJc w:val="right"/>
      <w:pPr>
        <w:ind w:left="4320" w:hanging="180"/>
      </w:pPr>
    </w:lvl>
    <w:lvl w:ilvl="6" w:tplc="A2F4F4E6" w:tentative="1">
      <w:start w:val="1"/>
      <w:numFmt w:val="decimal"/>
      <w:lvlText w:val="%7."/>
      <w:lvlJc w:val="left"/>
      <w:pPr>
        <w:ind w:left="5040" w:hanging="360"/>
      </w:pPr>
    </w:lvl>
    <w:lvl w:ilvl="7" w:tplc="E77E84F4" w:tentative="1">
      <w:start w:val="1"/>
      <w:numFmt w:val="lowerLetter"/>
      <w:lvlText w:val="%8."/>
      <w:lvlJc w:val="left"/>
      <w:pPr>
        <w:ind w:left="5760" w:hanging="360"/>
      </w:pPr>
    </w:lvl>
    <w:lvl w:ilvl="8" w:tplc="F9DAE5DA"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A78C35E2">
      <w:start w:val="1"/>
      <w:numFmt w:val="bullet"/>
      <w:lvlText w:val=""/>
      <w:lvlJc w:val="left"/>
      <w:pPr>
        <w:ind w:left="720" w:hanging="360"/>
      </w:pPr>
      <w:rPr>
        <w:rFonts w:ascii="Symbol" w:hAnsi="Symbol" w:hint="default"/>
      </w:rPr>
    </w:lvl>
    <w:lvl w:ilvl="1" w:tplc="829E7494" w:tentative="1">
      <w:start w:val="1"/>
      <w:numFmt w:val="bullet"/>
      <w:lvlText w:val="o"/>
      <w:lvlJc w:val="left"/>
      <w:pPr>
        <w:ind w:left="1440" w:hanging="360"/>
      </w:pPr>
      <w:rPr>
        <w:rFonts w:ascii="Courier New" w:hAnsi="Courier New" w:cs="Courier New" w:hint="default"/>
      </w:rPr>
    </w:lvl>
    <w:lvl w:ilvl="2" w:tplc="C6A0A508" w:tentative="1">
      <w:start w:val="1"/>
      <w:numFmt w:val="bullet"/>
      <w:lvlText w:val=""/>
      <w:lvlJc w:val="left"/>
      <w:pPr>
        <w:ind w:left="2160" w:hanging="360"/>
      </w:pPr>
      <w:rPr>
        <w:rFonts w:ascii="Wingdings" w:hAnsi="Wingdings" w:hint="default"/>
      </w:rPr>
    </w:lvl>
    <w:lvl w:ilvl="3" w:tplc="96388862" w:tentative="1">
      <w:start w:val="1"/>
      <w:numFmt w:val="bullet"/>
      <w:lvlText w:val=""/>
      <w:lvlJc w:val="left"/>
      <w:pPr>
        <w:ind w:left="2880" w:hanging="360"/>
      </w:pPr>
      <w:rPr>
        <w:rFonts w:ascii="Symbol" w:hAnsi="Symbol" w:hint="default"/>
      </w:rPr>
    </w:lvl>
    <w:lvl w:ilvl="4" w:tplc="853A9C1E" w:tentative="1">
      <w:start w:val="1"/>
      <w:numFmt w:val="bullet"/>
      <w:lvlText w:val="o"/>
      <w:lvlJc w:val="left"/>
      <w:pPr>
        <w:ind w:left="3600" w:hanging="360"/>
      </w:pPr>
      <w:rPr>
        <w:rFonts w:ascii="Courier New" w:hAnsi="Courier New" w:cs="Courier New" w:hint="default"/>
      </w:rPr>
    </w:lvl>
    <w:lvl w:ilvl="5" w:tplc="C7DA9702" w:tentative="1">
      <w:start w:val="1"/>
      <w:numFmt w:val="bullet"/>
      <w:lvlText w:val=""/>
      <w:lvlJc w:val="left"/>
      <w:pPr>
        <w:ind w:left="4320" w:hanging="360"/>
      </w:pPr>
      <w:rPr>
        <w:rFonts w:ascii="Wingdings" w:hAnsi="Wingdings" w:hint="default"/>
      </w:rPr>
    </w:lvl>
    <w:lvl w:ilvl="6" w:tplc="9FB8ECA4" w:tentative="1">
      <w:start w:val="1"/>
      <w:numFmt w:val="bullet"/>
      <w:lvlText w:val=""/>
      <w:lvlJc w:val="left"/>
      <w:pPr>
        <w:ind w:left="5040" w:hanging="360"/>
      </w:pPr>
      <w:rPr>
        <w:rFonts w:ascii="Symbol" w:hAnsi="Symbol" w:hint="default"/>
      </w:rPr>
    </w:lvl>
    <w:lvl w:ilvl="7" w:tplc="FA229B20" w:tentative="1">
      <w:start w:val="1"/>
      <w:numFmt w:val="bullet"/>
      <w:lvlText w:val="o"/>
      <w:lvlJc w:val="left"/>
      <w:pPr>
        <w:ind w:left="5760" w:hanging="360"/>
      </w:pPr>
      <w:rPr>
        <w:rFonts w:ascii="Courier New" w:hAnsi="Courier New" w:cs="Courier New" w:hint="default"/>
      </w:rPr>
    </w:lvl>
    <w:lvl w:ilvl="8" w:tplc="A0AA2EB6"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9D928BB2">
      <w:start w:val="1"/>
      <w:numFmt w:val="lowerRoman"/>
      <w:lvlText w:val="%1."/>
      <w:lvlJc w:val="left"/>
      <w:pPr>
        <w:ind w:left="1080" w:hanging="720"/>
      </w:pPr>
      <w:rPr>
        <w:rFonts w:hint="default"/>
      </w:rPr>
    </w:lvl>
    <w:lvl w:ilvl="1" w:tplc="9EF2332E" w:tentative="1">
      <w:start w:val="1"/>
      <w:numFmt w:val="lowerLetter"/>
      <w:lvlText w:val="%2."/>
      <w:lvlJc w:val="left"/>
      <w:pPr>
        <w:ind w:left="1440" w:hanging="360"/>
      </w:pPr>
    </w:lvl>
    <w:lvl w:ilvl="2" w:tplc="B2E47510" w:tentative="1">
      <w:start w:val="1"/>
      <w:numFmt w:val="lowerRoman"/>
      <w:lvlText w:val="%3."/>
      <w:lvlJc w:val="right"/>
      <w:pPr>
        <w:ind w:left="2160" w:hanging="180"/>
      </w:pPr>
    </w:lvl>
    <w:lvl w:ilvl="3" w:tplc="529471B4" w:tentative="1">
      <w:start w:val="1"/>
      <w:numFmt w:val="decimal"/>
      <w:lvlText w:val="%4."/>
      <w:lvlJc w:val="left"/>
      <w:pPr>
        <w:ind w:left="2880" w:hanging="360"/>
      </w:pPr>
    </w:lvl>
    <w:lvl w:ilvl="4" w:tplc="60EE01D6" w:tentative="1">
      <w:start w:val="1"/>
      <w:numFmt w:val="lowerLetter"/>
      <w:lvlText w:val="%5."/>
      <w:lvlJc w:val="left"/>
      <w:pPr>
        <w:ind w:left="3600" w:hanging="360"/>
      </w:pPr>
    </w:lvl>
    <w:lvl w:ilvl="5" w:tplc="ACB07B2C" w:tentative="1">
      <w:start w:val="1"/>
      <w:numFmt w:val="lowerRoman"/>
      <w:lvlText w:val="%6."/>
      <w:lvlJc w:val="right"/>
      <w:pPr>
        <w:ind w:left="4320" w:hanging="180"/>
      </w:pPr>
    </w:lvl>
    <w:lvl w:ilvl="6" w:tplc="D15A0C94" w:tentative="1">
      <w:start w:val="1"/>
      <w:numFmt w:val="decimal"/>
      <w:lvlText w:val="%7."/>
      <w:lvlJc w:val="left"/>
      <w:pPr>
        <w:ind w:left="5040" w:hanging="360"/>
      </w:pPr>
    </w:lvl>
    <w:lvl w:ilvl="7" w:tplc="09266308" w:tentative="1">
      <w:start w:val="1"/>
      <w:numFmt w:val="lowerLetter"/>
      <w:lvlText w:val="%8."/>
      <w:lvlJc w:val="left"/>
      <w:pPr>
        <w:ind w:left="5760" w:hanging="360"/>
      </w:pPr>
    </w:lvl>
    <w:lvl w:ilvl="8" w:tplc="947E2790"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C484793C">
      <w:start w:val="1"/>
      <w:numFmt w:val="bullet"/>
      <w:lvlText w:val=""/>
      <w:lvlJc w:val="left"/>
      <w:pPr>
        <w:ind w:left="720" w:hanging="360"/>
      </w:pPr>
      <w:rPr>
        <w:rFonts w:ascii="Symbol" w:hAnsi="Symbol" w:hint="default"/>
      </w:rPr>
    </w:lvl>
    <w:lvl w:ilvl="1" w:tplc="55A6297A" w:tentative="1">
      <w:start w:val="1"/>
      <w:numFmt w:val="bullet"/>
      <w:lvlText w:val="o"/>
      <w:lvlJc w:val="left"/>
      <w:pPr>
        <w:ind w:left="1440" w:hanging="360"/>
      </w:pPr>
      <w:rPr>
        <w:rFonts w:ascii="Courier New" w:hAnsi="Courier New" w:cs="Courier New" w:hint="default"/>
      </w:rPr>
    </w:lvl>
    <w:lvl w:ilvl="2" w:tplc="9BD488A2" w:tentative="1">
      <w:start w:val="1"/>
      <w:numFmt w:val="bullet"/>
      <w:lvlText w:val=""/>
      <w:lvlJc w:val="left"/>
      <w:pPr>
        <w:ind w:left="2160" w:hanging="360"/>
      </w:pPr>
      <w:rPr>
        <w:rFonts w:ascii="Wingdings" w:hAnsi="Wingdings" w:hint="default"/>
      </w:rPr>
    </w:lvl>
    <w:lvl w:ilvl="3" w:tplc="333A9952" w:tentative="1">
      <w:start w:val="1"/>
      <w:numFmt w:val="bullet"/>
      <w:lvlText w:val=""/>
      <w:lvlJc w:val="left"/>
      <w:pPr>
        <w:ind w:left="2880" w:hanging="360"/>
      </w:pPr>
      <w:rPr>
        <w:rFonts w:ascii="Symbol" w:hAnsi="Symbol" w:hint="default"/>
      </w:rPr>
    </w:lvl>
    <w:lvl w:ilvl="4" w:tplc="6CBCDECE" w:tentative="1">
      <w:start w:val="1"/>
      <w:numFmt w:val="bullet"/>
      <w:lvlText w:val="o"/>
      <w:lvlJc w:val="left"/>
      <w:pPr>
        <w:ind w:left="3600" w:hanging="360"/>
      </w:pPr>
      <w:rPr>
        <w:rFonts w:ascii="Courier New" w:hAnsi="Courier New" w:cs="Courier New" w:hint="default"/>
      </w:rPr>
    </w:lvl>
    <w:lvl w:ilvl="5" w:tplc="0D3AB5C0" w:tentative="1">
      <w:start w:val="1"/>
      <w:numFmt w:val="bullet"/>
      <w:lvlText w:val=""/>
      <w:lvlJc w:val="left"/>
      <w:pPr>
        <w:ind w:left="4320" w:hanging="360"/>
      </w:pPr>
      <w:rPr>
        <w:rFonts w:ascii="Wingdings" w:hAnsi="Wingdings" w:hint="default"/>
      </w:rPr>
    </w:lvl>
    <w:lvl w:ilvl="6" w:tplc="07303E9A" w:tentative="1">
      <w:start w:val="1"/>
      <w:numFmt w:val="bullet"/>
      <w:lvlText w:val=""/>
      <w:lvlJc w:val="left"/>
      <w:pPr>
        <w:ind w:left="5040" w:hanging="360"/>
      </w:pPr>
      <w:rPr>
        <w:rFonts w:ascii="Symbol" w:hAnsi="Symbol" w:hint="default"/>
      </w:rPr>
    </w:lvl>
    <w:lvl w:ilvl="7" w:tplc="177EA9BE" w:tentative="1">
      <w:start w:val="1"/>
      <w:numFmt w:val="bullet"/>
      <w:lvlText w:val="o"/>
      <w:lvlJc w:val="left"/>
      <w:pPr>
        <w:ind w:left="5760" w:hanging="360"/>
      </w:pPr>
      <w:rPr>
        <w:rFonts w:ascii="Courier New" w:hAnsi="Courier New" w:cs="Courier New" w:hint="default"/>
      </w:rPr>
    </w:lvl>
    <w:lvl w:ilvl="8" w:tplc="4FB0647C"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54CC7406">
      <w:start w:val="1"/>
      <w:numFmt w:val="bullet"/>
      <w:lvlText w:val=""/>
      <w:lvlJc w:val="left"/>
      <w:pPr>
        <w:ind w:left="900" w:hanging="360"/>
      </w:pPr>
      <w:rPr>
        <w:rFonts w:ascii="Symbol" w:hAnsi="Symbol" w:hint="default"/>
      </w:rPr>
    </w:lvl>
    <w:lvl w:ilvl="1" w:tplc="6ECAB61A">
      <w:start w:val="1"/>
      <w:numFmt w:val="bullet"/>
      <w:lvlText w:val="o"/>
      <w:lvlJc w:val="left"/>
      <w:pPr>
        <w:ind w:left="1620" w:hanging="360"/>
      </w:pPr>
      <w:rPr>
        <w:rFonts w:ascii="Courier New" w:hAnsi="Courier New" w:cs="Courier New" w:hint="default"/>
      </w:rPr>
    </w:lvl>
    <w:lvl w:ilvl="2" w:tplc="7A4E5DF8" w:tentative="1">
      <w:start w:val="1"/>
      <w:numFmt w:val="bullet"/>
      <w:lvlText w:val=""/>
      <w:lvlJc w:val="left"/>
      <w:pPr>
        <w:ind w:left="2340" w:hanging="360"/>
      </w:pPr>
      <w:rPr>
        <w:rFonts w:ascii="Wingdings" w:hAnsi="Wingdings" w:hint="default"/>
      </w:rPr>
    </w:lvl>
    <w:lvl w:ilvl="3" w:tplc="4574E646" w:tentative="1">
      <w:start w:val="1"/>
      <w:numFmt w:val="bullet"/>
      <w:lvlText w:val=""/>
      <w:lvlJc w:val="left"/>
      <w:pPr>
        <w:ind w:left="3060" w:hanging="360"/>
      </w:pPr>
      <w:rPr>
        <w:rFonts w:ascii="Symbol" w:hAnsi="Symbol" w:hint="default"/>
      </w:rPr>
    </w:lvl>
    <w:lvl w:ilvl="4" w:tplc="AFFCD1E4" w:tentative="1">
      <w:start w:val="1"/>
      <w:numFmt w:val="bullet"/>
      <w:lvlText w:val="o"/>
      <w:lvlJc w:val="left"/>
      <w:pPr>
        <w:ind w:left="3780" w:hanging="360"/>
      </w:pPr>
      <w:rPr>
        <w:rFonts w:ascii="Courier New" w:hAnsi="Courier New" w:cs="Courier New" w:hint="default"/>
      </w:rPr>
    </w:lvl>
    <w:lvl w:ilvl="5" w:tplc="D8A82782" w:tentative="1">
      <w:start w:val="1"/>
      <w:numFmt w:val="bullet"/>
      <w:lvlText w:val=""/>
      <w:lvlJc w:val="left"/>
      <w:pPr>
        <w:ind w:left="4500" w:hanging="360"/>
      </w:pPr>
      <w:rPr>
        <w:rFonts w:ascii="Wingdings" w:hAnsi="Wingdings" w:hint="default"/>
      </w:rPr>
    </w:lvl>
    <w:lvl w:ilvl="6" w:tplc="2AA66D32" w:tentative="1">
      <w:start w:val="1"/>
      <w:numFmt w:val="bullet"/>
      <w:lvlText w:val=""/>
      <w:lvlJc w:val="left"/>
      <w:pPr>
        <w:ind w:left="5220" w:hanging="360"/>
      </w:pPr>
      <w:rPr>
        <w:rFonts w:ascii="Symbol" w:hAnsi="Symbol" w:hint="default"/>
      </w:rPr>
    </w:lvl>
    <w:lvl w:ilvl="7" w:tplc="B0623FEC" w:tentative="1">
      <w:start w:val="1"/>
      <w:numFmt w:val="bullet"/>
      <w:lvlText w:val="o"/>
      <w:lvlJc w:val="left"/>
      <w:pPr>
        <w:ind w:left="5940" w:hanging="360"/>
      </w:pPr>
      <w:rPr>
        <w:rFonts w:ascii="Courier New" w:hAnsi="Courier New" w:cs="Courier New" w:hint="default"/>
      </w:rPr>
    </w:lvl>
    <w:lvl w:ilvl="8" w:tplc="9ECA17B4"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EF8C5A32">
      <w:start w:val="1"/>
      <w:numFmt w:val="lowerRoman"/>
      <w:lvlText w:val="(%1)"/>
      <w:lvlJc w:val="right"/>
      <w:pPr>
        <w:ind w:left="720" w:hanging="360"/>
      </w:pPr>
      <w:rPr>
        <w:rFonts w:ascii="Arial" w:eastAsia="MS Mincho" w:hAnsi="Arial" w:cs="Arial"/>
        <w:b/>
        <w:bCs w:val="0"/>
      </w:rPr>
    </w:lvl>
    <w:lvl w:ilvl="1" w:tplc="855CB092">
      <w:start w:val="1"/>
      <w:numFmt w:val="lowerLetter"/>
      <w:lvlText w:val="%2."/>
      <w:lvlJc w:val="left"/>
      <w:pPr>
        <w:ind w:left="1440" w:hanging="360"/>
      </w:pPr>
    </w:lvl>
    <w:lvl w:ilvl="2" w:tplc="5326667A">
      <w:start w:val="1"/>
      <w:numFmt w:val="bullet"/>
      <w:lvlText w:val=""/>
      <w:lvlJc w:val="left"/>
      <w:pPr>
        <w:ind w:left="2160" w:hanging="180"/>
      </w:pPr>
      <w:rPr>
        <w:rFonts w:ascii="Symbol" w:hAnsi="Symbol" w:hint="default"/>
      </w:rPr>
    </w:lvl>
    <w:lvl w:ilvl="3" w:tplc="E7484C1A">
      <w:start w:val="1"/>
      <w:numFmt w:val="decimal"/>
      <w:lvlText w:val="%4."/>
      <w:lvlJc w:val="left"/>
      <w:pPr>
        <w:ind w:left="2880" w:hanging="360"/>
      </w:pPr>
    </w:lvl>
    <w:lvl w:ilvl="4" w:tplc="E63E6E84">
      <w:start w:val="1"/>
      <w:numFmt w:val="lowerLetter"/>
      <w:lvlText w:val="%5."/>
      <w:lvlJc w:val="left"/>
      <w:pPr>
        <w:ind w:left="3600" w:hanging="360"/>
      </w:pPr>
    </w:lvl>
    <w:lvl w:ilvl="5" w:tplc="4EB6EBBA" w:tentative="1">
      <w:start w:val="1"/>
      <w:numFmt w:val="lowerRoman"/>
      <w:lvlText w:val="%6."/>
      <w:lvlJc w:val="right"/>
      <w:pPr>
        <w:ind w:left="4320" w:hanging="180"/>
      </w:pPr>
    </w:lvl>
    <w:lvl w:ilvl="6" w:tplc="C83C4DB0" w:tentative="1">
      <w:start w:val="1"/>
      <w:numFmt w:val="decimal"/>
      <w:lvlText w:val="%7."/>
      <w:lvlJc w:val="left"/>
      <w:pPr>
        <w:ind w:left="5040" w:hanging="360"/>
      </w:pPr>
    </w:lvl>
    <w:lvl w:ilvl="7" w:tplc="E0280148" w:tentative="1">
      <w:start w:val="1"/>
      <w:numFmt w:val="lowerLetter"/>
      <w:lvlText w:val="%8."/>
      <w:lvlJc w:val="left"/>
      <w:pPr>
        <w:ind w:left="5760" w:hanging="360"/>
      </w:pPr>
    </w:lvl>
    <w:lvl w:ilvl="8" w:tplc="8640B6BC"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CVRyVHCIYXHUqDAmJB2eKKNBURHGaWFKClej8rkUL6Ha90K8v2LqYrYVo9HYiql3dvuhZf1W16eA9URYff42nQ==" w:salt="WYtD0XeBp3r85arJrPWdEA=="/>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402"/>
    <w:rsid w:val="0000689C"/>
    <w:rsid w:val="00013C77"/>
    <w:rsid w:val="000442E9"/>
    <w:rsid w:val="00087C06"/>
    <w:rsid w:val="000B5EFF"/>
    <w:rsid w:val="000C364C"/>
    <w:rsid w:val="00112080"/>
    <w:rsid w:val="00115C76"/>
    <w:rsid w:val="001214C1"/>
    <w:rsid w:val="0013593A"/>
    <w:rsid w:val="00156B18"/>
    <w:rsid w:val="00164FE0"/>
    <w:rsid w:val="00190386"/>
    <w:rsid w:val="00196FBF"/>
    <w:rsid w:val="001A7422"/>
    <w:rsid w:val="001B6609"/>
    <w:rsid w:val="001E2C6F"/>
    <w:rsid w:val="001E3AD1"/>
    <w:rsid w:val="00212574"/>
    <w:rsid w:val="00217974"/>
    <w:rsid w:val="002233DF"/>
    <w:rsid w:val="00231971"/>
    <w:rsid w:val="00232755"/>
    <w:rsid w:val="00234FA8"/>
    <w:rsid w:val="00254E5E"/>
    <w:rsid w:val="00280A13"/>
    <w:rsid w:val="00287246"/>
    <w:rsid w:val="00335C81"/>
    <w:rsid w:val="003569B5"/>
    <w:rsid w:val="00372ADC"/>
    <w:rsid w:val="003976AE"/>
    <w:rsid w:val="003C5B07"/>
    <w:rsid w:val="003C682E"/>
    <w:rsid w:val="00422AFA"/>
    <w:rsid w:val="00435BB0"/>
    <w:rsid w:val="004502E4"/>
    <w:rsid w:val="00453E3D"/>
    <w:rsid w:val="00463CC3"/>
    <w:rsid w:val="00480505"/>
    <w:rsid w:val="00484032"/>
    <w:rsid w:val="00484A0F"/>
    <w:rsid w:val="004A570C"/>
    <w:rsid w:val="004C795D"/>
    <w:rsid w:val="004D27A6"/>
    <w:rsid w:val="004E6D79"/>
    <w:rsid w:val="004F2CCD"/>
    <w:rsid w:val="005248B2"/>
    <w:rsid w:val="00537BB8"/>
    <w:rsid w:val="005442D1"/>
    <w:rsid w:val="00544BB5"/>
    <w:rsid w:val="00551D0E"/>
    <w:rsid w:val="005718BB"/>
    <w:rsid w:val="005723CA"/>
    <w:rsid w:val="00585D68"/>
    <w:rsid w:val="00591643"/>
    <w:rsid w:val="0059614E"/>
    <w:rsid w:val="005A5399"/>
    <w:rsid w:val="005B2C2F"/>
    <w:rsid w:val="005C466B"/>
    <w:rsid w:val="005C7C72"/>
    <w:rsid w:val="005E048A"/>
    <w:rsid w:val="0060485F"/>
    <w:rsid w:val="006127D3"/>
    <w:rsid w:val="00615BFD"/>
    <w:rsid w:val="00616F41"/>
    <w:rsid w:val="00624AB5"/>
    <w:rsid w:val="00625280"/>
    <w:rsid w:val="00661F10"/>
    <w:rsid w:val="00681C1B"/>
    <w:rsid w:val="006C4E0B"/>
    <w:rsid w:val="006C6E2E"/>
    <w:rsid w:val="00702387"/>
    <w:rsid w:val="00715447"/>
    <w:rsid w:val="00761836"/>
    <w:rsid w:val="007656D9"/>
    <w:rsid w:val="00776C16"/>
    <w:rsid w:val="00782DC1"/>
    <w:rsid w:val="007B782A"/>
    <w:rsid w:val="007C2490"/>
    <w:rsid w:val="007C790C"/>
    <w:rsid w:val="007D451E"/>
    <w:rsid w:val="008046EB"/>
    <w:rsid w:val="008072B3"/>
    <w:rsid w:val="008114AE"/>
    <w:rsid w:val="008174B9"/>
    <w:rsid w:val="0083694F"/>
    <w:rsid w:val="00845706"/>
    <w:rsid w:val="008530A8"/>
    <w:rsid w:val="008671BD"/>
    <w:rsid w:val="008A0C78"/>
    <w:rsid w:val="008A74C0"/>
    <w:rsid w:val="008D4918"/>
    <w:rsid w:val="008D6EF7"/>
    <w:rsid w:val="00921AC2"/>
    <w:rsid w:val="009508AE"/>
    <w:rsid w:val="009563E2"/>
    <w:rsid w:val="009918C9"/>
    <w:rsid w:val="00994DA2"/>
    <w:rsid w:val="009A51DF"/>
    <w:rsid w:val="009B55AF"/>
    <w:rsid w:val="009C7F1D"/>
    <w:rsid w:val="009D0611"/>
    <w:rsid w:val="009D0B33"/>
    <w:rsid w:val="009E497B"/>
    <w:rsid w:val="009F1EF3"/>
    <w:rsid w:val="009F511E"/>
    <w:rsid w:val="00A20D37"/>
    <w:rsid w:val="00A368FD"/>
    <w:rsid w:val="00A71D6B"/>
    <w:rsid w:val="00A77FC5"/>
    <w:rsid w:val="00A8252A"/>
    <w:rsid w:val="00A94EDC"/>
    <w:rsid w:val="00A95416"/>
    <w:rsid w:val="00AB25E6"/>
    <w:rsid w:val="00AB3C95"/>
    <w:rsid w:val="00AE1E2F"/>
    <w:rsid w:val="00B0434E"/>
    <w:rsid w:val="00B258F9"/>
    <w:rsid w:val="00B34752"/>
    <w:rsid w:val="00B64EAD"/>
    <w:rsid w:val="00B770BB"/>
    <w:rsid w:val="00B90BB2"/>
    <w:rsid w:val="00B95A3D"/>
    <w:rsid w:val="00BC6A32"/>
    <w:rsid w:val="00BE094F"/>
    <w:rsid w:val="00BE48EE"/>
    <w:rsid w:val="00BF1D3B"/>
    <w:rsid w:val="00BF75F8"/>
    <w:rsid w:val="00C03841"/>
    <w:rsid w:val="00C30E45"/>
    <w:rsid w:val="00C33C38"/>
    <w:rsid w:val="00C33C3B"/>
    <w:rsid w:val="00C47505"/>
    <w:rsid w:val="00C52402"/>
    <w:rsid w:val="00C56F4A"/>
    <w:rsid w:val="00C72F00"/>
    <w:rsid w:val="00C85E51"/>
    <w:rsid w:val="00CA055B"/>
    <w:rsid w:val="00CB0663"/>
    <w:rsid w:val="00CC6D45"/>
    <w:rsid w:val="00D3137D"/>
    <w:rsid w:val="00D54DE6"/>
    <w:rsid w:val="00D54E21"/>
    <w:rsid w:val="00D730B8"/>
    <w:rsid w:val="00D76109"/>
    <w:rsid w:val="00DA1341"/>
    <w:rsid w:val="00DA19E3"/>
    <w:rsid w:val="00DA50DC"/>
    <w:rsid w:val="00DC097C"/>
    <w:rsid w:val="00DC572C"/>
    <w:rsid w:val="00DC774A"/>
    <w:rsid w:val="00DE4224"/>
    <w:rsid w:val="00E521E5"/>
    <w:rsid w:val="00E64000"/>
    <w:rsid w:val="00E81874"/>
    <w:rsid w:val="00E83159"/>
    <w:rsid w:val="00E877F9"/>
    <w:rsid w:val="00EB5540"/>
    <w:rsid w:val="00EC6B64"/>
    <w:rsid w:val="00EE251C"/>
    <w:rsid w:val="00EE6C13"/>
    <w:rsid w:val="00EF6C09"/>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FAB3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rPr>
      <w:lang w:val="pt-PT"/>
    </w:rPr>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3CF4C-06FA-4ADC-958F-605A858D99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13402</Words>
  <Characters>76394</Characters>
  <Application>Microsoft Office Word</Application>
  <DocSecurity>8</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2019-01-04T18:25:00Z</dcterms:created>
  <dcterms:modified xsi:type="dcterms:W3CDTF">2019-01-04T18:26:00Z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2019-01-04T18:25:46.3998102Z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