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5865" w:rsidRDefault="00335865">
      <w:pPr>
        <w:pStyle w:val="ProductList-Body"/>
        <w:ind w:right="8640"/>
        <w:rPr>
          <w:rFonts w:asciiTheme="majorHAnsi" w:hAnsiTheme="majorHAnsi"/>
          <w:color w:val="FFFFFF" w:themeColor="background1"/>
          <w:sz w:val="6"/>
          <w:szCs w:val="6"/>
          <w:lang w:val="pt-BR"/>
        </w:rPr>
      </w:pPr>
      <w:bookmarkStart w:id="0" w:name="CoverPage"/>
    </w:p>
    <w:p w:rsidR="00335865" w:rsidRDefault="0014121B">
      <w:pPr>
        <w:pStyle w:val="ProductList-Body"/>
        <w:ind w:right="8640"/>
        <w:rPr>
          <w:rFonts w:asciiTheme="majorHAnsi" w:hAnsiTheme="majorHAnsi"/>
          <w:color w:val="FFFFFF" w:themeColor="background1"/>
          <w:sz w:val="6"/>
          <w:szCs w:val="6"/>
          <w:lang w:val="pt-BR"/>
        </w:rPr>
      </w:pPr>
      <w:r>
        <w:rPr>
          <w:rFonts w:asciiTheme="majorHAnsi" w:hAnsiTheme="majorHAnsi"/>
          <w:color w:val="FFFFFF" w:themeColor="background1"/>
          <w:sz w:val="6"/>
          <w:szCs w:val="6"/>
          <w:lang w:val="pt-BR"/>
        </w:rPr>
        <w:t xml:space="preserve"> </w:t>
      </w:r>
    </w:p>
    <w:p w:rsidR="00335865" w:rsidRDefault="0014121B">
      <w:pPr>
        <w:pStyle w:val="ProductList-Body"/>
        <w:ind w:right="8640"/>
        <w:rPr>
          <w:rFonts w:asciiTheme="majorHAnsi" w:hAnsiTheme="majorHAnsi"/>
          <w:color w:val="FFFFFF" w:themeColor="background1"/>
          <w:sz w:val="32"/>
          <w:szCs w:val="32"/>
          <w:lang w:val="pt-BR"/>
        </w:rPr>
      </w:pPr>
      <w:r>
        <w:rPr>
          <w:rFonts w:asciiTheme="majorHAnsi" w:hAnsiTheme="majorHAnsi"/>
          <w:color w:val="FFFFFF" w:themeColor="background1"/>
          <w:sz w:val="32"/>
          <w:szCs w:val="32"/>
          <w:lang w:val="pt-BR"/>
        </w:rPr>
        <w:tab/>
      </w:r>
    </w:p>
    <w:bookmarkEnd w:id="0"/>
    <w:p w:rsidR="00335865" w:rsidRDefault="0014121B">
      <w:pPr>
        <w:pStyle w:val="ProductList-Body"/>
        <w:shd w:val="clear" w:color="auto" w:fill="00BCF2"/>
        <w:spacing w:after="900"/>
        <w:ind w:right="8640"/>
        <w:rPr>
          <w:rFonts w:asciiTheme="majorHAnsi" w:hAnsiTheme="majorHAnsi"/>
          <w:color w:val="FFFFFF" w:themeColor="background1"/>
          <w:sz w:val="32"/>
          <w:szCs w:val="32"/>
          <w:lang w:val="pt-BR"/>
        </w:rPr>
      </w:pPr>
      <w:r>
        <w:rPr>
          <w:rFonts w:asciiTheme="majorHAnsi" w:hAnsiTheme="majorHAnsi"/>
          <w:color w:val="FFFFFF" w:themeColor="background1"/>
          <w:sz w:val="32"/>
          <w:szCs w:val="32"/>
          <w:lang w:val="pt-BR"/>
        </w:rPr>
        <w:tab/>
      </w:r>
    </w:p>
    <w:p w:rsidR="00335865" w:rsidRDefault="00335865">
      <w:pPr>
        <w:pStyle w:val="ProductList-Body"/>
        <w:shd w:val="clear" w:color="auto" w:fill="00BCF2"/>
        <w:ind w:right="8640"/>
        <w:rPr>
          <w:color w:val="FFFFFF" w:themeColor="background1"/>
          <w:lang w:val="pt-BR"/>
        </w:rPr>
      </w:pPr>
    </w:p>
    <w:p w:rsidR="00335865" w:rsidRDefault="00335865">
      <w:pPr>
        <w:pStyle w:val="ProductList-Body"/>
        <w:shd w:val="clear" w:color="auto" w:fill="00BCF2"/>
        <w:ind w:right="8640"/>
        <w:rPr>
          <w:color w:val="FFFFFF" w:themeColor="background1"/>
          <w:lang w:val="pt-BR"/>
        </w:rPr>
      </w:pPr>
    </w:p>
    <w:p w:rsidR="00335865" w:rsidRDefault="00335865">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rPr>
      </w:pPr>
    </w:p>
    <w:p w:rsidR="00335865" w:rsidRDefault="0014121B">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pt-BR"/>
        </w:rPr>
      </w:pPr>
      <w:r>
        <w:rPr>
          <w:rFonts w:ascii="Calibri Light" w:eastAsia="Calibri Light" w:hAnsi="Calibri Light" w:cs="Arial"/>
          <w:color w:val="FFFFFF"/>
          <w:sz w:val="72"/>
          <w:szCs w:val="72"/>
          <w:lang w:val="pt-BR"/>
        </w:rPr>
        <w:tab/>
      </w:r>
      <w:r>
        <w:rPr>
          <w:rFonts w:ascii="Calibri Light" w:eastAsia="Calibri Light" w:hAnsi="Calibri Light" w:cs="Arial"/>
          <w:color w:val="FFFFFF"/>
          <w:sz w:val="60"/>
          <w:szCs w:val="60"/>
          <w:lang w:val="pt-BR"/>
        </w:rPr>
        <w:t xml:space="preserve">Serviços Microsoft Office </w:t>
      </w:r>
    </w:p>
    <w:p w:rsidR="00335865" w:rsidRDefault="0014121B">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pt-BR"/>
        </w:rPr>
      </w:pPr>
      <w:r>
        <w:rPr>
          <w:rFonts w:ascii="Calibri Light" w:eastAsia="Calibri Light" w:hAnsi="Calibri Light" w:cs="Arial"/>
          <w:color w:val="FFFFFF"/>
          <w:sz w:val="60"/>
          <w:szCs w:val="60"/>
          <w:lang w:val="pt-BR"/>
        </w:rPr>
        <w:tab/>
        <w:t xml:space="preserve">Professional Adendo de </w:t>
      </w:r>
    </w:p>
    <w:p w:rsidR="00335865" w:rsidRDefault="0014121B">
      <w:pPr>
        <w:pStyle w:val="ProductList-Body"/>
        <w:shd w:val="clear" w:color="auto" w:fill="0072C6"/>
        <w:tabs>
          <w:tab w:val="clear" w:pos="158"/>
          <w:tab w:val="left" w:pos="720"/>
        </w:tabs>
        <w:ind w:right="1800"/>
        <w:rPr>
          <w:rFonts w:asciiTheme="majorHAnsi" w:hAnsiTheme="majorHAnsi"/>
          <w:color w:val="FFFFFF" w:themeColor="background1"/>
          <w:sz w:val="60"/>
          <w:szCs w:val="60"/>
          <w:lang w:val="pt-BR"/>
        </w:rPr>
      </w:pPr>
      <w:r>
        <w:rPr>
          <w:rFonts w:ascii="Calibri Light" w:eastAsia="Calibri Light" w:hAnsi="Calibri Light" w:cs="Arial"/>
          <w:color w:val="FFFFFF"/>
          <w:sz w:val="60"/>
          <w:szCs w:val="60"/>
          <w:lang w:val="pt-BR"/>
        </w:rPr>
        <w:tab/>
        <w:t>Proteção de Dados</w:t>
      </w:r>
    </w:p>
    <w:p w:rsidR="00335865" w:rsidRDefault="0014121B">
      <w:pPr>
        <w:pStyle w:val="ProductList-Body"/>
        <w:shd w:val="clear" w:color="auto" w:fill="0072C6"/>
        <w:tabs>
          <w:tab w:val="clear" w:pos="158"/>
          <w:tab w:val="left" w:pos="720"/>
        </w:tabs>
        <w:ind w:right="1800"/>
        <w:rPr>
          <w:rFonts w:asciiTheme="majorHAnsi" w:hAnsiTheme="majorHAnsi"/>
          <w:color w:val="FFFFFF" w:themeColor="background1"/>
          <w:sz w:val="72"/>
          <w:szCs w:val="72"/>
          <w:lang w:val="pt-BR"/>
        </w:rPr>
      </w:pPr>
      <w:r>
        <w:rPr>
          <w:rFonts w:ascii="Calibri Light" w:eastAsia="Calibri Light" w:hAnsi="Calibri Light" w:cs="Arial"/>
          <w:color w:val="FFFFFF"/>
          <w:sz w:val="72"/>
          <w:szCs w:val="72"/>
          <w:lang w:val="pt-BR"/>
        </w:rPr>
        <w:tab/>
      </w:r>
      <w:r>
        <w:rPr>
          <w:rFonts w:ascii="Calibri Light" w:eastAsia="Calibri Light" w:hAnsi="Calibri Light" w:cs="Arial"/>
          <w:color w:val="FFFFFF"/>
          <w:sz w:val="48"/>
          <w:szCs w:val="48"/>
          <w:lang w:val="pt-BR"/>
        </w:rPr>
        <w:t xml:space="preserve">1º de </w:t>
      </w:r>
      <w:r w:rsidRPr="00AD60C5">
        <w:rPr>
          <w:rFonts w:ascii="Calibri Light" w:eastAsia="Calibri Light" w:hAnsi="Calibri Light" w:cs="Arial"/>
          <w:color w:val="FFFFFF"/>
          <w:sz w:val="48"/>
          <w:szCs w:val="48"/>
          <w:lang w:val="pt-PT"/>
        </w:rPr>
        <w:t>janiero</w:t>
      </w:r>
      <w:r>
        <w:rPr>
          <w:rFonts w:ascii="Calibri Light" w:eastAsia="Calibri Light" w:hAnsi="Calibri Light" w:cs="Arial"/>
          <w:color w:val="FFFFFF"/>
          <w:sz w:val="48"/>
          <w:szCs w:val="48"/>
          <w:lang w:val="pt-BR"/>
        </w:rPr>
        <w:t xml:space="preserve"> de 2019</w:t>
      </w:r>
    </w:p>
    <w:p w:rsidR="00335865" w:rsidRDefault="00335865">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rPr>
      </w:pPr>
    </w:p>
    <w:p w:rsidR="00335865" w:rsidRDefault="00335865">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rPr>
      </w:pPr>
    </w:p>
    <w:p w:rsidR="00335865" w:rsidRDefault="00335865">
      <w:pPr>
        <w:pStyle w:val="ProductList-Body"/>
        <w:rPr>
          <w:lang w:val="pt-BR"/>
        </w:rPr>
      </w:pPr>
    </w:p>
    <w:p w:rsidR="00335865" w:rsidRDefault="00335865">
      <w:pPr>
        <w:pStyle w:val="ProductList-Body"/>
        <w:rPr>
          <w:lang w:val="pt-BR"/>
        </w:rPr>
      </w:pPr>
    </w:p>
    <w:p w:rsidR="00335865" w:rsidRDefault="00335865">
      <w:pPr>
        <w:pStyle w:val="ProductList-Body"/>
        <w:rPr>
          <w:lang w:val="pt-BR"/>
        </w:rPr>
        <w:sectPr w:rsidR="00335865">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35865" w:rsidRDefault="00335865">
      <w:pPr>
        <w:rPr>
          <w:rFonts w:asciiTheme="majorHAnsi" w:hAnsiTheme="majorHAnsi"/>
          <w:b/>
          <w:sz w:val="40"/>
          <w:lang w:val="pt-BR"/>
        </w:rPr>
      </w:pPr>
    </w:p>
    <w:p w:rsidR="00335865" w:rsidRDefault="0014121B">
      <w:pPr>
        <w:rPr>
          <w:lang w:val="pt-BR"/>
        </w:rPr>
      </w:pPr>
      <w:r>
        <w:rPr>
          <w:rFonts w:ascii="Calibri Light" w:eastAsia="Calibri Light" w:hAnsi="Calibri Light" w:cs="Arial"/>
          <w:b/>
          <w:sz w:val="40"/>
          <w:szCs w:val="40"/>
          <w:lang w:val="pt-BR"/>
        </w:rPr>
        <w:t>Introdução</w:t>
      </w:r>
    </w:p>
    <w:p w:rsidR="00335865" w:rsidRDefault="0014121B">
      <w:pPr>
        <w:rPr>
          <w:rFonts w:cstheme="minorHAnsi"/>
          <w:sz w:val="18"/>
          <w:szCs w:val="18"/>
          <w:lang w:val="pt-BR"/>
        </w:rPr>
      </w:pPr>
      <w:bookmarkStart w:id="1" w:name="_Hlk495664241"/>
      <w:r>
        <w:rPr>
          <w:rFonts w:ascii="Calibri" w:eastAsia="Calibri" w:hAnsi="Calibri" w:cs="Calibri"/>
          <w:sz w:val="18"/>
          <w:szCs w:val="18"/>
          <w:lang w:val="pt-BR"/>
        </w:rPr>
        <w:t xml:space="preserve">Este Adendo referente à Proteção de dados para os Serviços Profissionais da Microsoft (“Adendo”) aplica-se unicamente aos Serviços Profissionais da Microsoft (definidos abaixo) fornecidos nos termos do Contrato, à exceção dos serviços ou cenários designados como piloto ou limitado. </w:t>
      </w:r>
      <w:bookmarkStart w:id="2" w:name="GeneralTerms"/>
      <w:bookmarkStart w:id="3" w:name="_Toc489605556"/>
      <w:bookmarkEnd w:id="1"/>
    </w:p>
    <w:p w:rsidR="00335865" w:rsidRDefault="0014121B">
      <w:pPr>
        <w:rPr>
          <w:rFonts w:cstheme="minorHAnsi"/>
          <w:sz w:val="18"/>
          <w:szCs w:val="18"/>
          <w:lang w:val="pt-BR"/>
        </w:rPr>
      </w:pPr>
      <w:bookmarkStart w:id="4" w:name="_Hlk496258096"/>
      <w:r>
        <w:rPr>
          <w:rFonts w:ascii="Calibri" w:eastAsia="Calibri" w:hAnsi="Calibri" w:cs="Calibri"/>
          <w:sz w:val="18"/>
          <w:szCs w:val="18"/>
          <w:lang w:val="pt-BR"/>
        </w:rPr>
        <w:t>Este Adendo não substitui outros Contratos de Proteção de dados firmados entre as partes, salvo concordado de outro modo por escrito; entretanto, na ausência de outros Termos do RGPD, os termos do Anexo 3 – Termos do Regulamento Geral sobre a Proteção de Dados da União Europeia se aplicarão.</w:t>
      </w:r>
    </w:p>
    <w:bookmarkEnd w:id="4"/>
    <w:p w:rsidR="00335865" w:rsidRDefault="0014121B">
      <w:pPr>
        <w:pStyle w:val="ProductList-SectionHeading"/>
        <w:outlineLvl w:val="0"/>
        <w:rPr>
          <w:lang w:val="pt-BR"/>
        </w:rPr>
      </w:pPr>
      <w:r>
        <w:rPr>
          <w:rFonts w:ascii="Calibri Light" w:eastAsia="Calibri Light" w:hAnsi="Calibri Light" w:cs="Arial"/>
          <w:szCs w:val="40"/>
          <w:lang w:val="pt-BR"/>
        </w:rPr>
        <w:t>Termos Gerais</w:t>
      </w:r>
      <w:bookmarkEnd w:id="2"/>
      <w:bookmarkEnd w:id="3"/>
    </w:p>
    <w:p w:rsidR="00335865" w:rsidRDefault="0014121B">
      <w:pPr>
        <w:pStyle w:val="ProductList-SubSubSectionHeading"/>
        <w:outlineLvl w:val="1"/>
        <w:rPr>
          <w:lang w:val="pt-BR"/>
        </w:rPr>
      </w:pPr>
      <w:bookmarkStart w:id="5" w:name="_Toc489605557"/>
      <w:bookmarkStart w:id="6" w:name="Definitions"/>
      <w:r>
        <w:rPr>
          <w:rFonts w:ascii="Calibri" w:eastAsia="Calibri" w:hAnsi="Calibri" w:cs="Arial"/>
          <w:szCs w:val="18"/>
          <w:lang w:val="pt-BR"/>
        </w:rPr>
        <w:t>Definições</w:t>
      </w:r>
      <w:bookmarkEnd w:id="5"/>
      <w:bookmarkEnd w:id="6"/>
    </w:p>
    <w:p w:rsidR="00335865" w:rsidRDefault="0014121B">
      <w:pPr>
        <w:pStyle w:val="ProductList-SubSubSectionHeading"/>
        <w:spacing w:after="120"/>
        <w:outlineLvl w:val="1"/>
        <w:rPr>
          <w:b w:val="0"/>
          <w:color w:val="auto"/>
          <w:lang w:val="pt-BR"/>
        </w:rPr>
      </w:pPr>
      <w:r>
        <w:rPr>
          <w:rFonts w:ascii="Calibri" w:eastAsia="Calibri" w:hAnsi="Calibri" w:cs="Arial"/>
          <w:b w:val="0"/>
          <w:color w:val="auto"/>
          <w:szCs w:val="18"/>
          <w:lang w:val="pt-BR"/>
        </w:rPr>
        <w:t>Os termos em letras maiúsculas usados, mas não definidos, neste Adendo deverão ter os significados atribuídos a eles no Contrato. Os termos definidos abaixo são usadas neste Adendo:</w:t>
      </w:r>
    </w:p>
    <w:p w:rsidR="00335865" w:rsidRDefault="0014121B">
      <w:pPr>
        <w:pStyle w:val="ProductList-Body"/>
        <w:spacing w:after="120"/>
        <w:rPr>
          <w:lang w:val="pt-BR"/>
        </w:rPr>
      </w:pPr>
      <w:r>
        <w:rPr>
          <w:rFonts w:ascii="Calibri" w:eastAsia="Calibri" w:hAnsi="Calibri" w:cs="Arial"/>
          <w:szCs w:val="18"/>
          <w:lang w:val="pt-BR"/>
        </w:rPr>
        <w:t xml:space="preserve">“Contrato” significa a Descrição dos Serviços e quaisquer Anexos, Declarações de Trabalho, Ordem/Ordens de Serviço do Enterprise Services, assim como o Master Agreement da Microsoft. </w:t>
      </w:r>
    </w:p>
    <w:p w:rsidR="00335865" w:rsidRDefault="0014121B">
      <w:pPr>
        <w:pStyle w:val="ProductList-Body"/>
        <w:spacing w:after="120"/>
        <w:rPr>
          <w:lang w:val="pt-BR"/>
        </w:rPr>
      </w:pPr>
      <w:r>
        <w:rPr>
          <w:rFonts w:ascii="Calibri" w:eastAsia="Calibri" w:hAnsi="Calibri" w:cs="Arial"/>
          <w:szCs w:val="18"/>
          <w:lang w:val="pt-BR"/>
        </w:rPr>
        <w:t xml:space="preserve">“Serviços de consultoria” significa o planejamento profissional, o aconselhamento, a orientação, a migração de dados, a implantação e a solução/os serviços de desenvolvimento de software fornecidos por meio dos Serviços de Consultoria da Microsoft, em conformidade com a Ordem de Serviço do Enterprise Services. </w:t>
      </w:r>
    </w:p>
    <w:p w:rsidR="00335865" w:rsidRDefault="0014121B">
      <w:pPr>
        <w:pStyle w:val="ProductList-Body"/>
        <w:spacing w:after="120"/>
        <w:rPr>
          <w:lang w:val="pt-BR"/>
        </w:rPr>
      </w:pPr>
      <w:r>
        <w:rPr>
          <w:rFonts w:ascii="Calibri" w:eastAsia="Calibri" w:hAnsi="Calibri" w:cs="Arial"/>
          <w:szCs w:val="18"/>
          <w:lang w:val="pt-BR"/>
        </w:rPr>
        <w:t>O “Regulamento Geral sobre a Proteção de Dados” ou “RGPD” significa o Regulamento (UE) 2016/679 do Parlamento Europeu e do Conselho de 27 de abril de 2016 sobre a proteção de indivíduos em relação ao processamento de dados pessoais e à livre movimentação desses dados, revogando a Diretiva 95/46/EC.</w:t>
      </w:r>
    </w:p>
    <w:p w:rsidR="00335865" w:rsidRDefault="0014121B">
      <w:pPr>
        <w:pStyle w:val="ProductList-Body"/>
        <w:spacing w:after="120"/>
        <w:rPr>
          <w:lang w:val="pt-BR"/>
        </w:rPr>
      </w:pPr>
      <w:r>
        <w:rPr>
          <w:rFonts w:ascii="Calibri" w:eastAsia="Calibri" w:hAnsi="Calibri" w:cs="Arial"/>
          <w:szCs w:val="18"/>
          <w:lang w:val="pt-BR"/>
        </w:rPr>
        <w:t>“Termos do RGPD” significa os termos constantes no Anexo 3, segundo os quais a Microsoft assume compromissos vinculativos em relação ao processamento de Dados Pessoais, conforme requerido pelo Artigo 28 do Regulamento Geral sobre a Proteção de Dados da União Europeia.</w:t>
      </w:r>
    </w:p>
    <w:p w:rsidR="00335865" w:rsidRDefault="0014121B">
      <w:pPr>
        <w:pStyle w:val="ProductList-Body"/>
        <w:spacing w:after="120"/>
        <w:rPr>
          <w:lang w:val="pt-BR"/>
        </w:rPr>
      </w:pPr>
      <w:r>
        <w:rPr>
          <w:rFonts w:ascii="Calibri" w:eastAsia="Calibri" w:hAnsi="Calibri" w:cs="Arial"/>
          <w:szCs w:val="18"/>
          <w:lang w:val="pt-BR"/>
        </w:rPr>
        <w:t>“Dados Pessoais” significa qualquer informação com relação a uma pessoa identificada ou identificável. Uma pessoa identificável é aquela que pode ser identificada, de maneira direta ou indireta,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rsidR="00335865" w:rsidRDefault="0014121B">
      <w:pPr>
        <w:pStyle w:val="ProductList-Body"/>
        <w:spacing w:after="120"/>
        <w:rPr>
          <w:lang w:val="pt-BR"/>
        </w:rPr>
      </w:pPr>
      <w:r>
        <w:rPr>
          <w:rFonts w:ascii="Calibri" w:eastAsia="Calibri" w:hAnsi="Calibri" w:cs="Arial"/>
          <w:szCs w:val="18"/>
          <w:lang w:val="pt-BR"/>
        </w:rPr>
        <w:t xml:space="preserve">“Serviços Profissionais” significa os Serviços de Suporte e Consultoria. Os Serviços Profissionais não incluem os Serviços Online da Microsoft. </w:t>
      </w:r>
    </w:p>
    <w:p w:rsidR="00335865" w:rsidRDefault="0014121B">
      <w:pPr>
        <w:pStyle w:val="ProductList-Body"/>
        <w:spacing w:after="120"/>
        <w:rPr>
          <w:lang w:val="pt-BR"/>
        </w:rPr>
      </w:pPr>
      <w:r>
        <w:rPr>
          <w:rFonts w:ascii="Calibri" w:eastAsia="Calibri" w:hAnsi="Calibri" w:cs="Arial"/>
          <w:szCs w:val="18"/>
          <w:lang w:val="pt-BR"/>
        </w:rPr>
        <w:t>“Cláusulas Contratuais Padrão” significa as cláusulas padrão de proteção de dados para a transferência de dados pessoais para os processadores estabelecidos em países de terceiros que não garantem um nível adequado de proteção de dados, conforme descrito no Artigo 46 do GDPR. As Cláusulas Contratuais Padrão estão nos anexos 1 e 2.</w:t>
      </w:r>
    </w:p>
    <w:p w:rsidR="00335865" w:rsidRDefault="0014121B">
      <w:pPr>
        <w:pStyle w:val="ProductList-Body"/>
        <w:spacing w:after="120"/>
        <w:rPr>
          <w:lang w:val="pt-BR"/>
        </w:rPr>
      </w:pPr>
      <w:r>
        <w:rPr>
          <w:rFonts w:ascii="Calibri" w:eastAsia="Calibri" w:hAnsi="Calibri" w:cs="Arial"/>
          <w:szCs w:val="18"/>
          <w:lang w:val="pt-BR"/>
        </w:rPr>
        <w:t xml:space="preserve">“Dados de Consultoria e Suporte” significa todos os dados, inclusive todos os arquivos de texto, som, vídeo, imagem ou software, fornecidos para a Microsoft pelo Cliente ou em nome dele (ou que o Cliente autorizar a Microsoft a obter de um Serviço Online) por meio de um contrato com a Microsoft para obter Serviços Profissionais cobertos segundo este Adendo. </w:t>
      </w:r>
    </w:p>
    <w:p w:rsidR="00335865" w:rsidRDefault="0014121B">
      <w:pPr>
        <w:pStyle w:val="ProductList-Body"/>
        <w:spacing w:after="120"/>
        <w:rPr>
          <w:lang w:val="pt-BR"/>
        </w:rPr>
      </w:pPr>
      <w:r>
        <w:rPr>
          <w:rFonts w:ascii="Calibri" w:eastAsia="Calibri" w:hAnsi="Calibri" w:cs="Arial"/>
          <w:szCs w:val="18"/>
          <w:lang w:val="pt-BR"/>
        </w:rPr>
        <w:t>“Serviços de Suporte” significa o Suporte Unificado da Microsoft ou Serviços de Suporte Premier, conforme descrito na Descrição dos Serviços ou na Descrição de Serviços de Suporte e Consultoria, que consiste em serviços de suporte técnico profissional de software fornecidos pela Microsoft que ajudam os clientes a identificar e resolver problemas em seu ambiente de tecnologia da informação.</w:t>
      </w:r>
    </w:p>
    <w:p w:rsidR="00335865" w:rsidRDefault="0014121B">
      <w:pPr>
        <w:pStyle w:val="ProductList-Body"/>
        <w:spacing w:after="120"/>
        <w:rPr>
          <w:lang w:val="pt-BR"/>
        </w:rPr>
      </w:pPr>
      <w:r>
        <w:rPr>
          <w:rFonts w:ascii="Calibri" w:eastAsia="Calibri" w:hAnsi="Calibri" w:cs="Arial"/>
          <w:szCs w:val="18"/>
          <w:lang w:val="pt-BR"/>
        </w:rPr>
        <w:t>Os termos “sujeito dos dados”, “processando”, “processador” e “autoridade supervisora” conforme usados neste documento têm os significados dispostos no RGPD e os termos “importador de dados” e “exportador de dados” têm os significados dispostos nas Cláusulas Contratuais Padrão.</w:t>
      </w:r>
    </w:p>
    <w:p w:rsidR="00335865" w:rsidRDefault="0014121B">
      <w:pPr>
        <w:pStyle w:val="ProductList-SubSubSectionHeading"/>
        <w:outlineLvl w:val="1"/>
        <w:rPr>
          <w:lang w:val="pt-BR"/>
        </w:rPr>
      </w:pPr>
      <w:bookmarkStart w:id="7" w:name="_Toc489605565"/>
      <w:r>
        <w:rPr>
          <w:rFonts w:ascii="Calibri" w:eastAsia="Calibri" w:hAnsi="Calibri" w:cs="Arial"/>
          <w:szCs w:val="18"/>
          <w:lang w:val="pt-BR"/>
        </w:rPr>
        <w:t>Cumprimento das Leis</w:t>
      </w:r>
      <w:bookmarkEnd w:id="7"/>
    </w:p>
    <w:p w:rsidR="00335865" w:rsidRDefault="0014121B">
      <w:pPr>
        <w:pStyle w:val="ProductList-SubSubSectionHeading"/>
        <w:outlineLvl w:val="1"/>
        <w:rPr>
          <w:b w:val="0"/>
          <w:color w:val="auto"/>
          <w:lang w:val="pt-BR"/>
        </w:rPr>
      </w:pPr>
      <w:r>
        <w:rPr>
          <w:rFonts w:ascii="Calibri" w:eastAsia="Calibri" w:hAnsi="Calibri" w:cs="Arial"/>
          <w:b w:val="0"/>
          <w:color w:val="auto"/>
          <w:szCs w:val="18"/>
          <w:lang w:val="pt-BR"/>
        </w:rPr>
        <w:t>A Microsoft cumprirá todas as leis e regulamentos geralmente aplicáveis ao respectivo fornecimento dos Serviços Profissionais,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de Suporte e Consultoria incluem informações sujeitas a qualquer lei ou regulamento específico. Todos os Incidentes de Segurança estão sujeitos aos termos de Notificação de Incidentes de Segurança abaixo.</w:t>
      </w:r>
    </w:p>
    <w:p w:rsidR="00335865" w:rsidRDefault="00335865">
      <w:pPr>
        <w:pStyle w:val="ProductList-SubSubSectionHeading"/>
        <w:outlineLvl w:val="1"/>
        <w:rPr>
          <w:b w:val="0"/>
          <w:color w:val="auto"/>
          <w:lang w:val="pt-BR"/>
        </w:rPr>
      </w:pPr>
    </w:p>
    <w:p w:rsidR="00335865" w:rsidRDefault="0014121B">
      <w:pPr>
        <w:pStyle w:val="ProductList-SubSubSectionHeading"/>
        <w:outlineLvl w:val="1"/>
        <w:rPr>
          <w:b w:val="0"/>
          <w:color w:val="auto"/>
          <w:lang w:val="pt-BR"/>
        </w:rPr>
      </w:pPr>
      <w:r>
        <w:rPr>
          <w:rFonts w:ascii="Calibri" w:eastAsia="Calibri" w:hAnsi="Calibri" w:cs="Arial"/>
          <w:b w:val="0"/>
          <w:color w:val="auto"/>
          <w:szCs w:val="18"/>
          <w:lang w:val="pt-BR"/>
        </w:rPr>
        <w:lastRenderedPageBreak/>
        <w:t>O Cliente precisa estar em conformidade com todas as leis e regulamentos aplicáveis relacionados à sua aquisição e uso dos Serviços Profissionais e sua transferência de Dados Pessoais e Dados de Suporte e Consultoria para a Microsoft, inclusive leis relacionadas à privacidade, dados pessoais, dados biométricos, proteção de dados e confidencialidade nas comunicações.</w:t>
      </w:r>
    </w:p>
    <w:p w:rsidR="00335865" w:rsidRDefault="00335865">
      <w:pPr>
        <w:pStyle w:val="ProductList-Body"/>
        <w:rPr>
          <w:lang w:val="pt-BR"/>
        </w:rPr>
      </w:pPr>
    </w:p>
    <w:p w:rsidR="00335865" w:rsidRDefault="0014121B">
      <w:pPr>
        <w:pStyle w:val="ProductList-SectionHeading"/>
        <w:tabs>
          <w:tab w:val="center" w:pos="5400"/>
        </w:tabs>
        <w:outlineLvl w:val="0"/>
        <w:rPr>
          <w:lang w:val="pt-BR"/>
        </w:rPr>
      </w:pPr>
      <w:bookmarkStart w:id="8" w:name="PrivacyandSecurityTerms"/>
      <w:bookmarkStart w:id="9" w:name="_Toc489605572"/>
      <w:r>
        <w:rPr>
          <w:rFonts w:ascii="Calibri Light" w:eastAsia="Calibri Light" w:hAnsi="Calibri Light" w:cs="Arial"/>
          <w:szCs w:val="40"/>
          <w:lang w:val="pt-BR"/>
        </w:rPr>
        <w:t xml:space="preserve">Privacidade </w:t>
      </w:r>
      <w:bookmarkEnd w:id="8"/>
      <w:bookmarkEnd w:id="9"/>
    </w:p>
    <w:p w:rsidR="00335865" w:rsidRDefault="0014121B">
      <w:pPr>
        <w:pStyle w:val="ProductList-SubSubSectionHeading"/>
        <w:outlineLvl w:val="2"/>
        <w:rPr>
          <w:lang w:val="pt-BR"/>
        </w:rPr>
      </w:pPr>
      <w:bookmarkStart w:id="10" w:name="_Toc489605575"/>
      <w:r>
        <w:rPr>
          <w:rFonts w:ascii="Calibri" w:eastAsia="Calibri" w:hAnsi="Calibri" w:cs="Arial"/>
          <w:szCs w:val="18"/>
          <w:lang w:val="pt-BR"/>
        </w:rPr>
        <w:t>Processamento dos Dados de Suporte e Consultoria</w:t>
      </w:r>
      <w:bookmarkEnd w:id="10"/>
      <w:r>
        <w:rPr>
          <w:rFonts w:ascii="Calibri" w:eastAsia="Calibri" w:hAnsi="Calibri" w:cs="Arial"/>
          <w:szCs w:val="18"/>
          <w:lang w:val="pt-BR"/>
        </w:rPr>
        <w:t>; Propriedade</w:t>
      </w:r>
    </w:p>
    <w:p w:rsidR="00335865" w:rsidRDefault="0014121B">
      <w:pPr>
        <w:pStyle w:val="ProductList-SubSubSectionHeading"/>
        <w:outlineLvl w:val="2"/>
        <w:rPr>
          <w:b w:val="0"/>
          <w:color w:val="auto"/>
          <w:lang w:val="pt-BR"/>
        </w:rPr>
      </w:pPr>
      <w:r>
        <w:rPr>
          <w:rFonts w:ascii="Calibri" w:eastAsia="Calibri" w:hAnsi="Calibri" w:cs="Arial"/>
          <w:b w:val="0"/>
          <w:color w:val="auto"/>
          <w:szCs w:val="18"/>
          <w:lang w:val="pt-BR"/>
        </w:rPr>
        <w:t>Os Dados de Suporte e Consultoria serão usados ou, de outro modo, processados somente para fornecer os Serviços Profissionais ao Cliente. A Microsoft não usará ou processará de outra forma os Dados de Suporte e Consultoria, nem extrairá informações deles para fazer publicidade ou para objetivos comerciais similares. Assim como ocorre entre as partes, o Cliente detém todo o direito, a titularidade do direito e o interesse nos Dados de Suporte e Consultoria. A Microsoft não adquire outros direitos sobre os Dados de Suporte e Consultoria que não sejam os concedidos à Microsoft para fornecer os Serviços Profissionais ao Cliente.</w:t>
      </w:r>
    </w:p>
    <w:p w:rsidR="00335865" w:rsidRDefault="00335865">
      <w:pPr>
        <w:pStyle w:val="ProductList-Body"/>
        <w:rPr>
          <w:lang w:val="pt-BR"/>
        </w:rPr>
      </w:pPr>
    </w:p>
    <w:p w:rsidR="00335865" w:rsidRDefault="0014121B">
      <w:pPr>
        <w:pStyle w:val="ProductList-SubSubSectionHeading"/>
        <w:outlineLvl w:val="2"/>
        <w:rPr>
          <w:lang w:val="pt-BR"/>
        </w:rPr>
      </w:pPr>
      <w:bookmarkStart w:id="11" w:name="_Toc489605576"/>
      <w:bookmarkStart w:id="12" w:name="ProcessingofPersonalData"/>
      <w:r>
        <w:rPr>
          <w:rFonts w:ascii="Calibri" w:eastAsia="Calibri" w:hAnsi="Calibri" w:cs="Arial"/>
          <w:szCs w:val="18"/>
          <w:lang w:val="pt-BR"/>
        </w:rPr>
        <w:t>Processamento de Dados Pessoais</w:t>
      </w:r>
      <w:bookmarkEnd w:id="11"/>
      <w:r>
        <w:rPr>
          <w:rFonts w:ascii="Calibri" w:eastAsia="Calibri" w:hAnsi="Calibri" w:cs="Arial"/>
          <w:szCs w:val="18"/>
          <w:lang w:val="pt-BR"/>
        </w:rPr>
        <w:t>: RGDP</w:t>
      </w:r>
    </w:p>
    <w:p w:rsidR="00335865" w:rsidRDefault="0014121B">
      <w:pPr>
        <w:pStyle w:val="ProductList-SubSubSectionHeading"/>
        <w:outlineLvl w:val="2"/>
        <w:rPr>
          <w:b w:val="0"/>
          <w:color w:val="auto"/>
          <w:lang w:val="pt-BR"/>
        </w:rPr>
      </w:pPr>
      <w:bookmarkStart w:id="13" w:name="_Toc489605577"/>
      <w:bookmarkEnd w:id="12"/>
      <w:r>
        <w:rPr>
          <w:rFonts w:ascii="Calibri" w:eastAsia="Calibri" w:hAnsi="Calibri" w:cs="Arial"/>
          <w:b w:val="0"/>
          <w:color w:val="auto"/>
          <w:szCs w:val="18"/>
          <w:lang w:val="pt-BR"/>
        </w:rPr>
        <w:t>Dados Pessoais incluídos nos Dados de Suporte e Consultoria e fornecidos para a Microsoft, pelo Cliente ou em seu nome, por meio de um compromisso com a Microsoft para obter Serviços Profissionais também são considerados Dados de Suporte e Consultoria. Identificadores pseudonimizados também podem ser gerados através do uso dos sistemas de TI dos Serviços Profissionais e também são considerados Dados Pessoais. Na medida em que a Microsoft é processadora ou subprocessadora de Dados Pessoais sujeita ao RGDP, os Termos do RGDP no Anexo 3 regem esse processamento e as partes também concordam com os seguintes termos nesta subseção (“Processamento de Dados Pessoais; RGDP”):</w:t>
      </w:r>
    </w:p>
    <w:p w:rsidR="00335865" w:rsidRDefault="00335865">
      <w:pPr>
        <w:pStyle w:val="ProductList-SubSubSectionHeading"/>
        <w:outlineLvl w:val="2"/>
        <w:rPr>
          <w:b w:val="0"/>
          <w:color w:val="auto"/>
          <w:lang w:val="pt-BR"/>
        </w:rPr>
      </w:pPr>
    </w:p>
    <w:p w:rsidR="00335865" w:rsidRDefault="0014121B">
      <w:pPr>
        <w:pStyle w:val="ProductList-Body"/>
        <w:ind w:left="180"/>
        <w:outlineLvl w:val="2"/>
        <w:rPr>
          <w:b/>
          <w:color w:val="0072C6"/>
          <w:lang w:val="pt-BR"/>
        </w:rPr>
      </w:pPr>
      <w:r>
        <w:rPr>
          <w:rFonts w:ascii="Calibri" w:eastAsia="Calibri" w:hAnsi="Calibri" w:cs="Arial"/>
          <w:b/>
          <w:color w:val="0072C6"/>
          <w:szCs w:val="18"/>
          <w:lang w:val="pt-BR"/>
        </w:rPr>
        <w:t>Funções e Responsabilidades do Processador e do Controlador</w:t>
      </w:r>
    </w:p>
    <w:p w:rsidR="00335865" w:rsidRDefault="0014121B">
      <w:pPr>
        <w:pStyle w:val="ProductList-SubSubSectionHeading"/>
        <w:ind w:left="180"/>
        <w:outlineLvl w:val="2"/>
        <w:rPr>
          <w:b w:val="0"/>
          <w:color w:val="auto"/>
          <w:lang w:val="pt-BR"/>
        </w:rPr>
      </w:pPr>
      <w:r>
        <w:rPr>
          <w:rFonts w:ascii="Calibri" w:eastAsia="Calibri" w:hAnsi="Calibri" w:cs="Arial"/>
          <w:b w:val="0"/>
          <w:color w:val="auto"/>
          <w:szCs w:val="18"/>
          <w:lang w:val="pt-BR"/>
        </w:rPr>
        <w:t>O Cliente e a Microsoft concordam que o Cliente é o controlador dos Dados Pessoais e a Microsoft é a processadora desses dados, salvo quando o Cliente atuar como processador de Dados Pessoais, caso em que a Microsoft será uma subprocessadora. A Microsoft processará Dados Pessoais somente de acordo com as instruções documentadas do Cliente. O Cliente concorda que o seu Contrato (inclusive este Adendo) constitui as instruções documentadas finais e completas do Cliente para Microsoft, para o processamento de Dados Pessoais. Quaisquer instruções adicionais ou alternativas deverão ser acordadas de acordo com o processo de alteração do contrato do Cliente. Em qualquer caso em que o RGPD se aplique e o Cliente seja um processador, o Cliente garante à Microsoft que as instruções do Cliente, inclusive a nomeação da Microsoft como processadora ou subprocessadora, foram autorizadas pelo controlador relevante.</w:t>
      </w:r>
    </w:p>
    <w:p w:rsidR="00335865" w:rsidRDefault="00335865">
      <w:pPr>
        <w:pStyle w:val="ProductList-SubSubSectionHeading"/>
        <w:ind w:left="180"/>
        <w:outlineLvl w:val="2"/>
        <w:rPr>
          <w:b w:val="0"/>
          <w:color w:val="auto"/>
          <w:lang w:val="pt-BR"/>
        </w:rPr>
      </w:pPr>
    </w:p>
    <w:p w:rsidR="00335865" w:rsidRDefault="0014121B">
      <w:pPr>
        <w:pStyle w:val="ProductList-SubSubSectionHeading"/>
        <w:outlineLvl w:val="2"/>
        <w:rPr>
          <w:b w:val="0"/>
          <w:color w:val="auto"/>
          <w:lang w:val="pt-BR"/>
        </w:rPr>
      </w:pPr>
      <w:r>
        <w:rPr>
          <w:rFonts w:ascii="Calibri" w:eastAsia="Calibri" w:hAnsi="Calibri" w:cs="Arial"/>
          <w:b w:val="0"/>
          <w:color w:val="auto"/>
          <w:szCs w:val="18"/>
          <w:lang w:val="pt-BR"/>
        </w:rPr>
        <w:tab/>
      </w:r>
      <w:r>
        <w:rPr>
          <w:rFonts w:ascii="Calibri" w:eastAsia="Calibri" w:hAnsi="Calibri" w:cs="Arial"/>
          <w:color w:val="0072C6"/>
          <w:szCs w:val="18"/>
          <w:lang w:val="pt-BR"/>
        </w:rPr>
        <w:t>Detalhes do Processamento</w:t>
      </w:r>
    </w:p>
    <w:p w:rsidR="00335865" w:rsidRDefault="0014121B">
      <w:pPr>
        <w:pStyle w:val="ProductList-SubSubSectionHeading"/>
        <w:ind w:left="180"/>
        <w:outlineLvl w:val="2"/>
        <w:rPr>
          <w:b w:val="0"/>
          <w:color w:val="auto"/>
          <w:lang w:val="pt-BR"/>
        </w:rPr>
      </w:pPr>
      <w:r>
        <w:rPr>
          <w:rFonts w:ascii="Calibri" w:eastAsia="Calibri" w:hAnsi="Calibri" w:cs="Arial"/>
          <w:b w:val="0"/>
          <w:color w:val="auto"/>
          <w:szCs w:val="18"/>
          <w:lang w:val="pt-BR"/>
        </w:rPr>
        <w:t xml:space="preserve">As partes reconhecem e concordam que: </w:t>
      </w:r>
    </w:p>
    <w:p w:rsidR="00335865" w:rsidRDefault="0014121B">
      <w:pPr>
        <w:pStyle w:val="ProductList-SubSubSectionHeading"/>
        <w:ind w:left="720"/>
        <w:outlineLvl w:val="2"/>
        <w:rPr>
          <w:b w:val="0"/>
          <w:color w:val="auto"/>
          <w:lang w:val="pt-BR"/>
        </w:rPr>
      </w:pPr>
      <w:r>
        <w:rPr>
          <w:rFonts w:ascii="Calibri" w:eastAsia="Calibri" w:hAnsi="Calibri" w:cs="Arial"/>
          <w:b w:val="0"/>
          <w:color w:val="auto"/>
          <w:szCs w:val="18"/>
          <w:lang w:val="pt-BR"/>
        </w:rPr>
        <w:t>• O objeto do processamento é limitado a Dados Pessoais dentro do escopo do RGPD;</w:t>
      </w:r>
    </w:p>
    <w:p w:rsidR="00335865" w:rsidRDefault="0014121B">
      <w:pPr>
        <w:pStyle w:val="ProductList-SubSubSectionHeading"/>
        <w:ind w:left="720"/>
        <w:outlineLvl w:val="2"/>
        <w:rPr>
          <w:b w:val="0"/>
          <w:color w:val="auto"/>
          <w:lang w:val="pt-BR"/>
        </w:rPr>
      </w:pPr>
      <w:r>
        <w:rPr>
          <w:rFonts w:ascii="Calibri" w:eastAsia="Calibri" w:hAnsi="Calibri" w:cs="Arial"/>
          <w:b w:val="0"/>
          <w:color w:val="auto"/>
          <w:szCs w:val="18"/>
          <w:lang w:val="pt-BR"/>
        </w:rPr>
        <w:t>• A duração do processamento vigorará durante o período de compromisso do Cliente com Microsoft e até que todos os Dados Pessoais sejam excluídos ou devolvidos;</w:t>
      </w:r>
    </w:p>
    <w:p w:rsidR="00335865" w:rsidRDefault="0014121B">
      <w:pPr>
        <w:pStyle w:val="ProductList-SubSubSectionHeading"/>
        <w:ind w:left="720"/>
        <w:outlineLvl w:val="2"/>
        <w:rPr>
          <w:b w:val="0"/>
          <w:color w:val="auto"/>
          <w:lang w:val="pt-BR"/>
        </w:rPr>
      </w:pPr>
      <w:r>
        <w:rPr>
          <w:rFonts w:ascii="Calibri" w:eastAsia="Calibri" w:hAnsi="Calibri" w:cs="Arial"/>
          <w:b w:val="0"/>
          <w:color w:val="auto"/>
          <w:szCs w:val="18"/>
          <w:lang w:val="pt-BR"/>
        </w:rPr>
        <w:t>• A natureza e a finalidade do processamento deverão ser fornecer os Serviços Profissionais de acordo com o contrato do Cliente;</w:t>
      </w:r>
    </w:p>
    <w:p w:rsidR="00335865" w:rsidRDefault="0014121B">
      <w:pPr>
        <w:pStyle w:val="ProductList-SubSubSectionHeading"/>
        <w:ind w:left="720"/>
        <w:outlineLvl w:val="2"/>
        <w:rPr>
          <w:b w:val="0"/>
          <w:color w:val="auto"/>
          <w:lang w:val="pt-BR"/>
        </w:rPr>
      </w:pPr>
      <w:r>
        <w:rPr>
          <w:rFonts w:ascii="Calibri" w:eastAsia="Calibri" w:hAnsi="Calibri" w:cs="Arial"/>
          <w:b w:val="0"/>
          <w:color w:val="auto"/>
          <w:szCs w:val="18"/>
          <w:lang w:val="pt-BR"/>
        </w:rPr>
        <w:t>• Os tipos de Dados Pessoais processados a partir do fornecimento dos Serviços Profissionais incluem aqueles expressamente identificados no Artigo 4 do RGPD; e</w:t>
      </w:r>
    </w:p>
    <w:p w:rsidR="00335865" w:rsidRDefault="0014121B">
      <w:pPr>
        <w:pStyle w:val="ProductList-SubSubSectionHeading"/>
        <w:ind w:left="720"/>
        <w:outlineLvl w:val="2"/>
        <w:rPr>
          <w:b w:val="0"/>
          <w:color w:val="auto"/>
          <w:lang w:val="pt-BR"/>
        </w:rPr>
      </w:pPr>
      <w:r>
        <w:rPr>
          <w:rFonts w:ascii="Calibri" w:eastAsia="Calibri" w:hAnsi="Calibri" w:cs="Arial"/>
          <w:b w:val="0"/>
          <w:color w:val="auto"/>
          <w:szCs w:val="18"/>
          <w:lang w:val="pt-BR"/>
        </w:rPr>
        <w:t>• As categorias de titulares de dados incluem os representantes do Cliente e os usuários finais, como funcionários, contratados, colaboradores e clientes do Cliente.</w:t>
      </w:r>
    </w:p>
    <w:p w:rsidR="00335865" w:rsidRDefault="00335865">
      <w:pPr>
        <w:pStyle w:val="ProductList-SubSubSectionHeading"/>
        <w:outlineLvl w:val="2"/>
        <w:rPr>
          <w:b w:val="0"/>
          <w:color w:val="auto"/>
          <w:lang w:val="pt-BR"/>
        </w:rPr>
      </w:pPr>
    </w:p>
    <w:p w:rsidR="00335865" w:rsidRDefault="0014121B">
      <w:pPr>
        <w:pStyle w:val="ProductList-SubSubSectionHeading"/>
        <w:ind w:left="180"/>
        <w:outlineLvl w:val="2"/>
        <w:rPr>
          <w:b w:val="0"/>
          <w:color w:val="auto"/>
          <w:lang w:val="pt-BR"/>
        </w:rPr>
      </w:pPr>
      <w:r>
        <w:rPr>
          <w:rFonts w:ascii="Calibri" w:eastAsia="Calibri" w:hAnsi="Calibri" w:cs="Arial"/>
          <w:bCs/>
          <w:color w:val="0072C6"/>
          <w:szCs w:val="18"/>
          <w:lang w:val="pt-BR"/>
        </w:rPr>
        <w:t>Direitos dos Titulares de Dados; Assistência com Solicitações</w:t>
      </w:r>
    </w:p>
    <w:p w:rsidR="00335865" w:rsidRDefault="0014121B">
      <w:pPr>
        <w:pStyle w:val="ProductList-SubSubSectionHeading"/>
        <w:ind w:left="180"/>
        <w:outlineLvl w:val="2"/>
        <w:rPr>
          <w:b w:val="0"/>
          <w:color w:val="auto"/>
          <w:lang w:val="pt-BR"/>
        </w:rPr>
      </w:pPr>
      <w:r>
        <w:rPr>
          <w:rFonts w:ascii="Calibri" w:eastAsia="Calibri" w:hAnsi="Calibri" w:cs="Arial"/>
          <w:b w:val="0"/>
          <w:color w:val="auto"/>
          <w:szCs w:val="18"/>
          <w:lang w:val="pt-BR"/>
        </w:rPr>
        <w:t>A Microsoft disponibilizará ao Cliente, de forma consistente com a função da Microsoft como processadora, os Dados Pessoais dos titulares de dados e a capacidade de cumprir as solicitações dos titulares de dados para exercer seus direitos nos termos do RGPD.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RGPD em relação aos Serviços Profissionais nos casos em que a Microsoft é processadora ou subprocessadora de dados, a Microsoft redirecionará o titular dos dados para fazer sua solicitação diretamente ao cliente. O Cliente será responsável por responder a essa solicitação. A Microsoft deverá cumprir as solicitações razoáveis feitas pelo Cliente para auxiliar na resposta do Cliente quanto à solicitação do titular dos dados.</w:t>
      </w:r>
    </w:p>
    <w:p w:rsidR="00335865" w:rsidRDefault="00335865">
      <w:pPr>
        <w:pStyle w:val="ProductList-SubSubSectionHeading"/>
        <w:ind w:left="180"/>
        <w:outlineLvl w:val="2"/>
        <w:rPr>
          <w:b w:val="0"/>
          <w:color w:val="auto"/>
          <w:lang w:val="pt-BR"/>
        </w:rPr>
      </w:pPr>
    </w:p>
    <w:p w:rsidR="00335865" w:rsidRDefault="0014121B">
      <w:pPr>
        <w:pStyle w:val="ProductList-SubSubSectionHeading"/>
        <w:ind w:left="180"/>
        <w:outlineLvl w:val="2"/>
        <w:rPr>
          <w:b w:val="0"/>
          <w:color w:val="auto"/>
          <w:lang w:val="pt-BR"/>
        </w:rPr>
      </w:pPr>
      <w:r>
        <w:rPr>
          <w:rFonts w:ascii="Calibri" w:eastAsia="Calibri" w:hAnsi="Calibri" w:cs="Arial"/>
          <w:bCs/>
          <w:color w:val="0072C6"/>
          <w:szCs w:val="18"/>
          <w:lang w:val="pt-BR"/>
        </w:rPr>
        <w:t>Registros de Processamento de Atividades</w:t>
      </w:r>
    </w:p>
    <w:p w:rsidR="00335865" w:rsidRDefault="0014121B">
      <w:pPr>
        <w:pStyle w:val="ProductList-SubSubSectionHeading"/>
        <w:ind w:left="180"/>
        <w:outlineLvl w:val="2"/>
        <w:rPr>
          <w:b w:val="0"/>
          <w:color w:val="auto"/>
          <w:lang w:val="pt-BR"/>
        </w:rPr>
      </w:pPr>
      <w:r>
        <w:rPr>
          <w:rFonts w:ascii="Calibri" w:eastAsia="Calibri" w:hAnsi="Calibri" w:cs="Arial"/>
          <w:b w:val="0"/>
          <w:color w:val="auto"/>
          <w:szCs w:val="18"/>
          <w:lang w:val="pt-BR"/>
        </w:rPr>
        <w:t xml:space="preserve">A Microsoft manterá todos os registros requeridos pelo Artigo 30(2) do RGPD e, na medida aplicável ao processamento de Dados Pessoais em nome do Cliente, disponibilizá-los ao Cliente, mediante solicitação. </w:t>
      </w:r>
    </w:p>
    <w:p w:rsidR="00335865" w:rsidRDefault="00335865">
      <w:pPr>
        <w:pStyle w:val="ProductList-SubSubSectionHeading"/>
        <w:outlineLvl w:val="2"/>
        <w:rPr>
          <w:lang w:val="pt-BR"/>
        </w:rPr>
      </w:pPr>
    </w:p>
    <w:p w:rsidR="00335865" w:rsidRDefault="0014121B">
      <w:pPr>
        <w:pStyle w:val="ProductList-SubSubSectionHeading"/>
        <w:outlineLvl w:val="2"/>
        <w:rPr>
          <w:lang w:val="pt-BR"/>
        </w:rPr>
      </w:pPr>
      <w:bookmarkStart w:id="14" w:name="_Toc489605578"/>
      <w:bookmarkEnd w:id="13"/>
      <w:r>
        <w:rPr>
          <w:rFonts w:ascii="Calibri" w:eastAsia="Calibri" w:hAnsi="Calibri" w:cs="Arial"/>
          <w:szCs w:val="18"/>
          <w:lang w:val="pt-BR"/>
        </w:rPr>
        <w:t>Divulgação de Dados de Suporte e Consultoria</w:t>
      </w:r>
      <w:bookmarkEnd w:id="14"/>
    </w:p>
    <w:p w:rsidR="00335865" w:rsidRDefault="0014121B">
      <w:pPr>
        <w:pStyle w:val="ProductList-Body"/>
        <w:spacing w:after="120"/>
        <w:rPr>
          <w:lang w:val="pt-BR"/>
        </w:rPr>
      </w:pPr>
      <w:r>
        <w:rPr>
          <w:rFonts w:ascii="Calibri" w:eastAsia="Calibri" w:hAnsi="Calibri" w:cs="Arial"/>
          <w:szCs w:val="18"/>
          <w:lang w:val="pt-BR"/>
        </w:rPr>
        <w:t xml:space="preserve">A Microsoft não divulgará os Dados de Suporte e Consultoria fora da Microsoft nem de suas afiliadas e subsidiárias controladas, salvo (1) conforme instruído pelo Cliente, (2) conforme descrito neste Adendo ou (3) conforme requerido pela legislação. </w:t>
      </w:r>
    </w:p>
    <w:p w:rsidR="00335865" w:rsidRDefault="0014121B">
      <w:pPr>
        <w:pStyle w:val="ProductList-Body"/>
        <w:spacing w:after="120"/>
        <w:rPr>
          <w:lang w:val="pt-BR"/>
        </w:rPr>
      </w:pPr>
      <w:r>
        <w:rPr>
          <w:rFonts w:ascii="Calibri" w:eastAsia="Calibri" w:hAnsi="Calibri" w:cs="Arial"/>
          <w:szCs w:val="18"/>
          <w:lang w:val="pt-BR"/>
        </w:rPr>
        <w:lastRenderedPageBreak/>
        <w:t>A Microsoft não divulgará os Dados de Suporte e Consultoria por imposição da lei, a não ser que seja exigido por lei. Caso as autoridades responsáveis pela aplicação da lei entrem em contato com a Microsoft com um requerimento para obter Dados de Suporte e Consultoria, tentaremos redirecioná-las para enviar a solicitação desses dados diretamente ao Cliente. Se for obrigada por representantes legais a divulgar os Dados de Suporte e Consultoria, a Microsoft notificará imediatamente o Cliente e fornecerá uma cópia da demanda, a menos que seja legalmente proibida de fazê-lo.</w:t>
      </w:r>
    </w:p>
    <w:p w:rsidR="00335865" w:rsidRDefault="0014121B">
      <w:pPr>
        <w:pStyle w:val="ProductList-Body"/>
        <w:spacing w:after="120"/>
        <w:rPr>
          <w:lang w:val="pt-BR"/>
        </w:rPr>
      </w:pPr>
      <w:r>
        <w:rPr>
          <w:rFonts w:ascii="Calibri" w:eastAsia="Calibri" w:hAnsi="Calibri" w:cs="Arial"/>
          <w:szCs w:val="18"/>
          <w:lang w:val="pt-BR"/>
        </w:rPr>
        <w:t>Ao receber qualquer outra solicitação de terceiros referente a Dados de Suporte e Consultoria, a Microsoft notificará o Cliente imediatamente, a menos que seja proibida por lei. A Microsoft rejeitará a solicitação a não ser que seja exigido por lei a cumpri-la. Se a solicitação for válida, a Microsoft tentará redirecionar o terceiro para que ele solicite os dados diretamente do Cliente.</w:t>
      </w:r>
    </w:p>
    <w:p w:rsidR="00335865" w:rsidRDefault="0014121B">
      <w:pPr>
        <w:pStyle w:val="ProductList-Body"/>
        <w:spacing w:after="120"/>
        <w:rPr>
          <w:lang w:val="pt-BR"/>
        </w:rPr>
      </w:pPr>
      <w:r>
        <w:rPr>
          <w:rFonts w:ascii="Calibri" w:eastAsia="Calibri" w:hAnsi="Calibri" w:cs="Arial"/>
          <w:szCs w:val="18"/>
          <w:lang w:val="pt-BR"/>
        </w:rPr>
        <w:t>A Microsoft não fornecerá a terceiros: (a) acesso direto, indireto, amplo ou ilimitado aos Dados de Suporte e Consultoria; (b) as chaves de criptografia da plataforma usadas para proteger os Dados e o Suporte ou a capacidade de violar essa criptografia nem (c) acesso aos Dados de Suporte e Consultoria, se a Microsoft tomar conhecimento de que esses dados serão usados para objetivos diferentes dos estabelecidos na solicitação do terceiro.</w:t>
      </w:r>
    </w:p>
    <w:p w:rsidR="00335865" w:rsidRDefault="0014121B">
      <w:pPr>
        <w:pStyle w:val="ProductList-Body"/>
        <w:spacing w:after="120"/>
        <w:rPr>
          <w:lang w:val="pt-BR"/>
        </w:rPr>
      </w:pPr>
      <w:r>
        <w:rPr>
          <w:rFonts w:ascii="Calibri" w:eastAsia="Calibri" w:hAnsi="Calibri" w:cs="Arial"/>
          <w:szCs w:val="18"/>
          <w:lang w:val="pt-BR"/>
        </w:rPr>
        <w:t xml:space="preserve">Com base no exposto acima, a Microsoft poderá fornecer ao terceiro as informações de contato básicas do Cliente. </w:t>
      </w:r>
    </w:p>
    <w:p w:rsidR="00335865" w:rsidRDefault="00335865">
      <w:pPr>
        <w:pStyle w:val="ProductList-Body"/>
        <w:rPr>
          <w:lang w:val="pt-BR"/>
        </w:rPr>
      </w:pPr>
    </w:p>
    <w:p w:rsidR="00335865" w:rsidRDefault="0014121B">
      <w:pPr>
        <w:pStyle w:val="ProductList-SubSubSectionHeading"/>
        <w:outlineLvl w:val="2"/>
        <w:rPr>
          <w:lang w:val="pt-BR"/>
        </w:rPr>
      </w:pPr>
      <w:r>
        <w:rPr>
          <w:rFonts w:ascii="Calibri" w:eastAsia="Calibri" w:hAnsi="Calibri" w:cs="Arial"/>
          <w:szCs w:val="18"/>
          <w:lang w:val="pt-BR"/>
        </w:rPr>
        <w:t>Exclusão ou Devolução de Dados de Suporte e Consultoria</w:t>
      </w:r>
    </w:p>
    <w:p w:rsidR="00335865" w:rsidRDefault="0014121B">
      <w:pPr>
        <w:pStyle w:val="ProductList-Body"/>
        <w:spacing w:after="120"/>
        <w:rPr>
          <w:lang w:val="pt-BR"/>
        </w:rPr>
      </w:pPr>
      <w:r>
        <w:rPr>
          <w:rFonts w:ascii="Calibri" w:eastAsia="Calibri" w:hAnsi="Calibri" w:cs="Arial"/>
          <w:szCs w:val="18"/>
          <w:lang w:val="pt-BR"/>
        </w:rPr>
        <w:t xml:space="preserve">A Microsoft excluirá ou devolverá todas as cópias dos Dados de Suporte e Consultoria e Dados Pessoais depois dos objetivos de negócios para os quais os Dados de Suporte e Consultoria foram coletados ou transferidos terem sido atendidos ou, anteriormente, mediante solicitação por escrito do Cliente. </w:t>
      </w:r>
    </w:p>
    <w:p w:rsidR="00335865" w:rsidRDefault="00335865">
      <w:pPr>
        <w:pStyle w:val="ProductList-SubSubSectionHeading"/>
        <w:outlineLvl w:val="2"/>
        <w:rPr>
          <w:lang w:val="pt-BR"/>
        </w:rPr>
      </w:pPr>
    </w:p>
    <w:p w:rsidR="00335865" w:rsidRDefault="0014121B">
      <w:pPr>
        <w:pStyle w:val="ProductList-SubSubSectionHeading"/>
        <w:outlineLvl w:val="2"/>
        <w:rPr>
          <w:lang w:val="pt-BR"/>
        </w:rPr>
      </w:pPr>
      <w:bookmarkStart w:id="15" w:name="LocationofDataProcessing"/>
      <w:bookmarkStart w:id="16" w:name="_Toc489605583"/>
      <w:r>
        <w:rPr>
          <w:rFonts w:ascii="Calibri" w:eastAsia="Calibri" w:hAnsi="Calibri" w:cs="Arial"/>
          <w:szCs w:val="18"/>
          <w:lang w:val="pt-BR"/>
        </w:rPr>
        <w:t>Local do Processamento de Dados</w:t>
      </w:r>
      <w:bookmarkEnd w:id="15"/>
      <w:bookmarkEnd w:id="16"/>
    </w:p>
    <w:p w:rsidR="00335865" w:rsidRDefault="0014121B">
      <w:pPr>
        <w:pStyle w:val="ProductList-Body"/>
        <w:spacing w:after="120"/>
        <w:rPr>
          <w:lang w:val="pt-BR"/>
        </w:rPr>
      </w:pPr>
      <w:r>
        <w:rPr>
          <w:rFonts w:ascii="Calibri" w:eastAsia="Calibri" w:hAnsi="Calibri" w:cs="Arial"/>
          <w:szCs w:val="18"/>
          <w:lang w:val="pt-BR"/>
        </w:rPr>
        <w:t xml:space="preserve">Os Dados de Suporte e Consultoria e os Dados Pessoais processados pela Microsoft em nome do Cliente poderão ser transferidos, armazenados e processados nos EUA ou em qualquer outro país no qual operem a Microsoft ou seus subprocessadores. O Cliente nomeia a Microsoft para executar qualquer transferência de Dados de Suporte e Consultoria e Dados Pessoais para qualquer país e para o armazenamento e o processamento dos Dados de Suporte e Consultoria e Dados Pessoais, para fornecer os Serviços Profissionais. </w:t>
      </w:r>
    </w:p>
    <w:p w:rsidR="00335865" w:rsidRDefault="0014121B">
      <w:pPr>
        <w:pStyle w:val="ProductList-Body"/>
        <w:spacing w:after="120"/>
        <w:rPr>
          <w:lang w:val="pt-BR"/>
        </w:rPr>
      </w:pPr>
      <w:r>
        <w:rPr>
          <w:rFonts w:ascii="Calibri" w:eastAsia="Calibri" w:hAnsi="Calibri" w:cs="Arial"/>
          <w:szCs w:val="18"/>
          <w:lang w:val="pt-BR"/>
        </w:rPr>
        <w:t>Para Serviços de Suporte e, mediante confirmação, para Serviços de Consultoria, todas as transferências de Dados de Suporte e Consultoria para fora da União Europeia, da Área Econômica Europeia e da Suíça, por Serviços Profissionais nos termos deste Adendo, serão regidas pelas Cláusulas Contratuais Padrão constantes nos anexos 1 e 2, a menos que o Cliente optar por desvincular-se dessas cláusulas.</w:t>
      </w:r>
    </w:p>
    <w:p w:rsidR="00335865" w:rsidRDefault="0014121B">
      <w:pPr>
        <w:pStyle w:val="ProductList-Body"/>
        <w:spacing w:after="120"/>
        <w:rPr>
          <w:lang w:val="pt-BR"/>
        </w:rPr>
      </w:pPr>
      <w:r>
        <w:rPr>
          <w:rFonts w:ascii="Calibri" w:eastAsia="Calibri" w:hAnsi="Calibri" w:cs="Arial"/>
          <w:szCs w:val="18"/>
          <w:lang w:val="pt-BR"/>
        </w:rPr>
        <w:t>As Cláusulas Contratuais Padrão são aplicáveis aos Serviços de Consultoria após a confirmação do ServicesEUMC@microsoft.com. O processo para obter essa confirmação pode ser iniciado em http://aka.ms/ServicesEUMC</w:t>
      </w:r>
    </w:p>
    <w:p w:rsidR="00335865" w:rsidRDefault="0014121B">
      <w:pPr>
        <w:pStyle w:val="ProductList-Body"/>
        <w:spacing w:after="120"/>
        <w:rPr>
          <w:lang w:val="pt-BR"/>
        </w:rPr>
      </w:pPr>
      <w:r>
        <w:rPr>
          <w:rFonts w:ascii="Calibri" w:eastAsia="Calibri" w:hAnsi="Calibri" w:cs="Arial"/>
          <w:szCs w:val="18"/>
          <w:lang w:val="pt-BR"/>
        </w:rP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RGPD, e que tais transferências e proteções serão documentadas de acordo com o Artigo 30(2) do RGPD. Além disso, a Microsoft é certificada na Lei de Proteção à Privacidade entre UE-EUA e Suíça-EUA, assim como nos compromissos que ela implica. A Microsoft concorda em notificar o Cliente caso ela faça uma determinação de que ela não pode mais cumprir suas obrigações de fornecer o mesmo nível de proteção exigido pelos princípios de Blindagem de Privacidade.</w:t>
      </w:r>
    </w:p>
    <w:p w:rsidR="00335865" w:rsidRDefault="00335865">
      <w:pPr>
        <w:pStyle w:val="ProductList-Body"/>
        <w:rPr>
          <w:lang w:val="pt-BR"/>
        </w:rPr>
      </w:pPr>
    </w:p>
    <w:p w:rsidR="00335865" w:rsidRDefault="0014121B">
      <w:pPr>
        <w:pStyle w:val="ProductList-SubSubSectionHeading"/>
        <w:outlineLvl w:val="2"/>
        <w:rPr>
          <w:lang w:val="pt-BR"/>
        </w:rPr>
      </w:pPr>
      <w:r>
        <w:rPr>
          <w:rFonts w:ascii="Calibri" w:eastAsia="Calibri" w:hAnsi="Calibri" w:cs="Arial"/>
          <w:szCs w:val="18"/>
          <w:lang w:val="pt-BR"/>
        </w:rPr>
        <w:t>Compromisso de Confidencialidade do Processador</w:t>
      </w:r>
    </w:p>
    <w:p w:rsidR="00335865" w:rsidRDefault="0014121B">
      <w:pPr>
        <w:pStyle w:val="ProductList-Body"/>
        <w:rPr>
          <w:lang w:val="pt-BR"/>
        </w:rPr>
      </w:pPr>
      <w:r>
        <w:rPr>
          <w:rFonts w:ascii="Calibri" w:eastAsia="Calibri" w:hAnsi="Calibri" w:cs="Calibri"/>
          <w:szCs w:val="18"/>
          <w:lang w:val="pt-BR" w:eastAsia="zh-CN"/>
        </w:rPr>
        <w:t>A Microsoft vai assegurar que a sua equipe envolvidos no processamento de Dados de Suporte e Consultoria e Dados Pessoais (i) processará tais dados somente de acordo com as instruções do Cliente, e (ii) será obrigada a manter a confidencialidade e a segurança desses dados mesmo após o término do compromisso. A Microsoft fornecerá treinamento periódico e obrigatório de privacidade e segurança de dados e conscientização aos seus funcionários com acesso a Dados de Suporte e Consultoria de acordo com as leis aplicáveis à Microsoft na qualidade de fornecedora de serviços de TI profissionais e normas do setor.</w:t>
      </w:r>
    </w:p>
    <w:p w:rsidR="00335865" w:rsidRDefault="00335865">
      <w:pPr>
        <w:pStyle w:val="ProductList-Body"/>
        <w:rPr>
          <w:lang w:val="pt-BR"/>
        </w:rPr>
      </w:pPr>
    </w:p>
    <w:p w:rsidR="00335865" w:rsidRDefault="0014121B">
      <w:pPr>
        <w:pStyle w:val="ProductList-SubSubSectionHeading"/>
        <w:outlineLvl w:val="2"/>
        <w:rPr>
          <w:lang w:val="pt-BR"/>
        </w:rPr>
      </w:pPr>
      <w:r>
        <w:rPr>
          <w:rFonts w:ascii="Calibri" w:eastAsia="Calibri" w:hAnsi="Calibri" w:cs="Arial"/>
          <w:szCs w:val="18"/>
          <w:lang w:val="pt-BR"/>
        </w:rPr>
        <w:t xml:space="preserve">Aviso e Controles sobre o Uso de Subprocessadores </w:t>
      </w:r>
    </w:p>
    <w:p w:rsidR="00335865" w:rsidRDefault="0014121B">
      <w:pPr>
        <w:pStyle w:val="ProductList-Body"/>
        <w:spacing w:after="120"/>
        <w:rPr>
          <w:lang w:val="pt-BR"/>
        </w:rPr>
      </w:pPr>
      <w:r>
        <w:rPr>
          <w:rFonts w:ascii="Calibri" w:eastAsia="Calibri" w:hAnsi="Calibri" w:cs="Arial"/>
          <w:szCs w:val="18"/>
          <w:lang w:val="pt-BR"/>
        </w:rPr>
        <w:t xml:space="preserve">A Microsoft poderá contratar terceiros para fornecer serviços em seu nome. O cliente concorda com o envolvimento desses terceiros e Afiliadas da Microsoft como Subprocessadores. As autorizações acima constituirão o consentimento prévio por escrito do Cliente para a subcontratação pela Microsoft do processamento dos Dados de Suporte e Consultoria e Dados Pessoais, se esse consentimento for requerido de acordo com as Cláusulas Contratuais Padrão ou Termos do RGPD. A Microsoft é responsável pela conformidade com as obrigações da Microsoft por parte dos respectivos Subprocessadores neste Adendo. Ao contratar qualquer Subprocessador, a Microsoft vai assegurar, por meio de contrato por escrito, que o Subprocessador poderá acessar e usar Dados de Suporte e Consultoria e Dados Pessoais somente para fornecer os serviços para os quais a Microsoft os contratou, proibindo o uso de Dados de Suporte e Consultoria para qualquer outro objetivo. A Microsoft é responsável pela conformidade dos Subprocessadores com as obrigações deste Adendo. </w:t>
      </w:r>
    </w:p>
    <w:p w:rsidR="00335865" w:rsidRDefault="0014121B">
      <w:pPr>
        <w:pStyle w:val="ProductList-Body"/>
        <w:spacing w:after="120"/>
        <w:rPr>
          <w:lang w:val="pt-BR"/>
        </w:rPr>
      </w:pPr>
      <w:r>
        <w:rPr>
          <w:rFonts w:ascii="Calibri" w:eastAsia="Calibri" w:hAnsi="Calibri" w:cs="Arial"/>
          <w:szCs w:val="18"/>
          <w:lang w:val="pt-BR"/>
        </w:rPr>
        <w:lastRenderedPageBreak/>
        <w:t>Uma lista dos atuais Subprocessadores da Microsoft para os Serviços de Suporte está disponível em: https://aka.ms/servicesapprovedsuppliers (este URL pode ser atualizado pela Microsoft periodicamente). De tempos em tempos, a Microsoft poderá contratar novos Subprocessadores para Serviços de Suporte. A Microsoft notificará o Cliente (atualizando o site e fornecendo ao Cliente um mecanismo para obter uma notificação dessa atualização) sobre qualquer novo Subprocessador, pelo menos, 30 dias antes de fornecer a esse Subprocessador acesso aos Dados de Suporte e Consultoria ou Dados Pessoais.</w:t>
      </w:r>
    </w:p>
    <w:p w:rsidR="00335865" w:rsidRDefault="0014121B">
      <w:pPr>
        <w:pStyle w:val="ProductList-Body"/>
        <w:spacing w:after="120"/>
        <w:rPr>
          <w:lang w:val="pt-BR"/>
        </w:rPr>
      </w:pPr>
      <w:r>
        <w:rPr>
          <w:rFonts w:ascii="Calibri" w:eastAsia="Calibri" w:hAnsi="Calibri" w:cs="Arial"/>
          <w:szCs w:val="18"/>
          <w:lang w:val="pt-BR"/>
        </w:rPr>
        <w:t>Uma lista dos Subprocessadores da Microsoft para Serviços de Consultoria está disponível mediante solicitação.</w:t>
      </w:r>
    </w:p>
    <w:p w:rsidR="00335865" w:rsidRDefault="0014121B">
      <w:pPr>
        <w:pStyle w:val="ProductList-Body"/>
        <w:spacing w:after="120"/>
        <w:rPr>
          <w:lang w:val="pt-BR"/>
        </w:rPr>
      </w:pPr>
      <w:r>
        <w:rPr>
          <w:rFonts w:ascii="Calibri" w:eastAsia="Calibri" w:hAnsi="Calibri" w:cs="Arial"/>
          <w:szCs w:val="18"/>
          <w:lang w:val="pt-BR"/>
        </w:rPr>
        <w:t>Se o Cliente não aprovar um novo Subprocessador, ele poderá rescindir a Ordem de Serviço Empresarial aplicável para os Serviços Profissionais afetados sem penalidade, fornecendo, antes do final do período de notificação relevante, notificação por escrito do término que inclui uma explicação das bases para a não aprovação.</w:t>
      </w:r>
    </w:p>
    <w:p w:rsidR="00335865" w:rsidRDefault="00335865">
      <w:pPr>
        <w:pStyle w:val="ProductList-SubSubSectionHeading"/>
        <w:outlineLvl w:val="2"/>
        <w:rPr>
          <w:lang w:val="pt-BR"/>
        </w:rPr>
      </w:pPr>
      <w:bookmarkStart w:id="17" w:name="_Toc489605586"/>
    </w:p>
    <w:p w:rsidR="00335865" w:rsidRDefault="0014121B">
      <w:pPr>
        <w:pStyle w:val="ProductList-SectionHeading"/>
        <w:tabs>
          <w:tab w:val="center" w:pos="5400"/>
        </w:tabs>
        <w:outlineLvl w:val="0"/>
        <w:rPr>
          <w:lang w:val="pt-BR"/>
        </w:rPr>
      </w:pPr>
      <w:r>
        <w:rPr>
          <w:rFonts w:ascii="Calibri Light" w:eastAsia="Calibri Light" w:hAnsi="Calibri Light" w:cs="Arial"/>
          <w:szCs w:val="40"/>
          <w:lang w:val="pt-BR"/>
        </w:rPr>
        <w:t xml:space="preserve">Como entrar em contato com a Microsoft </w:t>
      </w:r>
    </w:p>
    <w:bookmarkEnd w:id="17"/>
    <w:p w:rsidR="00335865" w:rsidRDefault="0014121B">
      <w:pPr>
        <w:suppressAutoHyphens/>
        <w:overflowPunct w:val="0"/>
        <w:autoSpaceDE w:val="0"/>
        <w:autoSpaceDN w:val="0"/>
        <w:adjustRightInd w:val="0"/>
        <w:spacing w:after="0" w:line="240" w:lineRule="auto"/>
        <w:textAlignment w:val="baseline"/>
        <w:outlineLvl w:val="0"/>
        <w:rPr>
          <w:sz w:val="18"/>
          <w:lang w:val="pt-BR"/>
        </w:rPr>
      </w:pPr>
      <w:r>
        <w:rPr>
          <w:rFonts w:ascii="Calibri" w:eastAsia="Calibri" w:hAnsi="Calibri" w:cs="Arial"/>
          <w:sz w:val="18"/>
          <w:szCs w:val="18"/>
          <w:lang w:val="pt-BR"/>
        </w:rP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14" w:history="1">
        <w:r>
          <w:rPr>
            <w:rFonts w:ascii="Calibri" w:eastAsia="Calibri" w:hAnsi="Calibri" w:cs="Arial"/>
            <w:color w:val="0563C1"/>
            <w:sz w:val="18"/>
            <w:szCs w:val="18"/>
            <w:u w:val="single"/>
            <w:lang w:val="pt-BR"/>
          </w:rPr>
          <w:t>http://go.microsoft.com/?linkid=9846224</w:t>
        </w:r>
      </w:hyperlink>
    </w:p>
    <w:p w:rsidR="00335865" w:rsidRDefault="00335865">
      <w:pPr>
        <w:suppressAutoHyphens/>
        <w:overflowPunct w:val="0"/>
        <w:autoSpaceDE w:val="0"/>
        <w:autoSpaceDN w:val="0"/>
        <w:adjustRightInd w:val="0"/>
        <w:spacing w:after="0" w:line="240" w:lineRule="auto"/>
        <w:textAlignment w:val="baseline"/>
        <w:outlineLvl w:val="0"/>
        <w:rPr>
          <w:sz w:val="18"/>
          <w:lang w:val="pt-BR"/>
        </w:rPr>
      </w:pPr>
    </w:p>
    <w:p w:rsidR="00335865" w:rsidRDefault="0014121B">
      <w:pPr>
        <w:suppressAutoHyphens/>
        <w:overflowPunct w:val="0"/>
        <w:autoSpaceDE w:val="0"/>
        <w:autoSpaceDN w:val="0"/>
        <w:adjustRightInd w:val="0"/>
        <w:spacing w:after="0" w:line="240" w:lineRule="auto"/>
        <w:textAlignment w:val="baseline"/>
        <w:outlineLvl w:val="0"/>
        <w:rPr>
          <w:sz w:val="18"/>
          <w:lang w:val="pt-BR"/>
        </w:rPr>
      </w:pPr>
      <w:r>
        <w:rPr>
          <w:rFonts w:ascii="Calibri" w:eastAsia="Calibri" w:hAnsi="Calibri" w:cs="Arial"/>
          <w:sz w:val="18"/>
          <w:szCs w:val="18"/>
          <w:lang w:val="pt-BR"/>
        </w:rPr>
        <w:t>O endereço de correspondência da Microsoft é:</w:t>
      </w:r>
    </w:p>
    <w:p w:rsidR="00335865" w:rsidRPr="00AD60C5" w:rsidRDefault="0014121B">
      <w:pPr>
        <w:suppressAutoHyphens/>
        <w:overflowPunct w:val="0"/>
        <w:autoSpaceDE w:val="0"/>
        <w:autoSpaceDN w:val="0"/>
        <w:adjustRightInd w:val="0"/>
        <w:spacing w:after="0" w:line="240" w:lineRule="auto"/>
        <w:ind w:firstLine="720"/>
        <w:textAlignment w:val="baseline"/>
        <w:outlineLvl w:val="0"/>
        <w:rPr>
          <w:b/>
          <w:sz w:val="18"/>
        </w:rPr>
      </w:pPr>
      <w:r w:rsidRPr="00AD60C5">
        <w:rPr>
          <w:rFonts w:ascii="Calibri" w:eastAsia="Calibri" w:hAnsi="Calibri" w:cs="Arial"/>
          <w:b/>
          <w:sz w:val="18"/>
          <w:szCs w:val="18"/>
        </w:rPr>
        <w:t>Microsoft Enterprise Service Privacy</w:t>
      </w:r>
    </w:p>
    <w:p w:rsidR="00335865" w:rsidRPr="00AD60C5" w:rsidRDefault="0014121B">
      <w:pPr>
        <w:suppressAutoHyphens/>
        <w:overflowPunct w:val="0"/>
        <w:autoSpaceDE w:val="0"/>
        <w:autoSpaceDN w:val="0"/>
        <w:adjustRightInd w:val="0"/>
        <w:spacing w:after="0" w:line="240" w:lineRule="auto"/>
        <w:ind w:left="720"/>
        <w:textAlignment w:val="baseline"/>
        <w:outlineLvl w:val="0"/>
        <w:rPr>
          <w:sz w:val="18"/>
        </w:rPr>
      </w:pPr>
      <w:r w:rsidRPr="00AD60C5">
        <w:rPr>
          <w:rFonts w:ascii="Calibri" w:eastAsia="Calibri" w:hAnsi="Calibri" w:cs="Arial"/>
          <w:sz w:val="18"/>
          <w:szCs w:val="18"/>
        </w:rPr>
        <w:t>Microsoft Corporation</w:t>
      </w:r>
    </w:p>
    <w:p w:rsidR="00335865" w:rsidRPr="00AD60C5" w:rsidRDefault="0014121B">
      <w:pPr>
        <w:suppressAutoHyphens/>
        <w:overflowPunct w:val="0"/>
        <w:autoSpaceDE w:val="0"/>
        <w:autoSpaceDN w:val="0"/>
        <w:adjustRightInd w:val="0"/>
        <w:spacing w:after="0" w:line="240" w:lineRule="auto"/>
        <w:ind w:left="720"/>
        <w:textAlignment w:val="baseline"/>
        <w:outlineLvl w:val="0"/>
        <w:rPr>
          <w:sz w:val="18"/>
        </w:rPr>
      </w:pPr>
      <w:r w:rsidRPr="00AD60C5">
        <w:rPr>
          <w:rFonts w:ascii="Calibri" w:eastAsia="Calibri" w:hAnsi="Calibri" w:cs="Arial"/>
          <w:sz w:val="18"/>
          <w:szCs w:val="18"/>
        </w:rPr>
        <w:t>One Microsoft Way</w:t>
      </w:r>
    </w:p>
    <w:p w:rsidR="00335865" w:rsidRDefault="0014121B">
      <w:pPr>
        <w:suppressAutoHyphens/>
        <w:overflowPunct w:val="0"/>
        <w:autoSpaceDE w:val="0"/>
        <w:autoSpaceDN w:val="0"/>
        <w:adjustRightInd w:val="0"/>
        <w:spacing w:after="0" w:line="240" w:lineRule="auto"/>
        <w:ind w:left="720"/>
        <w:textAlignment w:val="baseline"/>
        <w:outlineLvl w:val="0"/>
        <w:rPr>
          <w:sz w:val="18"/>
          <w:lang w:val="pt-BR"/>
        </w:rPr>
      </w:pPr>
      <w:r>
        <w:rPr>
          <w:rFonts w:ascii="Calibri" w:eastAsia="Calibri" w:hAnsi="Calibri" w:cs="Arial"/>
          <w:sz w:val="18"/>
          <w:szCs w:val="18"/>
          <w:lang w:val="pt-BR"/>
        </w:rPr>
        <w:t>Redmond, Washington 98052 USA</w:t>
      </w:r>
    </w:p>
    <w:p w:rsidR="00335865" w:rsidRDefault="00335865">
      <w:pPr>
        <w:suppressAutoHyphens/>
        <w:overflowPunct w:val="0"/>
        <w:autoSpaceDE w:val="0"/>
        <w:autoSpaceDN w:val="0"/>
        <w:adjustRightInd w:val="0"/>
        <w:spacing w:after="0" w:line="240" w:lineRule="auto"/>
        <w:textAlignment w:val="baseline"/>
        <w:outlineLvl w:val="0"/>
        <w:rPr>
          <w:sz w:val="18"/>
          <w:lang w:val="pt-BR"/>
        </w:rPr>
      </w:pPr>
    </w:p>
    <w:p w:rsidR="00335865" w:rsidRDefault="0014121B">
      <w:pPr>
        <w:suppressAutoHyphens/>
        <w:overflowPunct w:val="0"/>
        <w:autoSpaceDE w:val="0"/>
        <w:autoSpaceDN w:val="0"/>
        <w:adjustRightInd w:val="0"/>
        <w:spacing w:after="0" w:line="240" w:lineRule="auto"/>
        <w:textAlignment w:val="baseline"/>
        <w:outlineLvl w:val="0"/>
        <w:rPr>
          <w:sz w:val="18"/>
          <w:lang w:val="pt-BR"/>
        </w:rPr>
      </w:pPr>
      <w:r>
        <w:rPr>
          <w:rFonts w:ascii="Calibri" w:eastAsia="Calibri" w:hAnsi="Calibri" w:cs="Arial"/>
          <w:sz w:val="18"/>
          <w:szCs w:val="18"/>
          <w:lang w:val="pt-BR"/>
        </w:rPr>
        <w:t>A Microsoft Ireland Operations Limited é o representante de proteção de dados da Microsoft para a Área Econômica Europeia e Suíça. O representante de privacidade da Microsoft Ireland Operations Limited poderá ser contatado no seguinte endereço:</w:t>
      </w:r>
    </w:p>
    <w:p w:rsidR="00335865" w:rsidRDefault="0014121B">
      <w:pPr>
        <w:suppressAutoHyphens/>
        <w:overflowPunct w:val="0"/>
        <w:autoSpaceDE w:val="0"/>
        <w:autoSpaceDN w:val="0"/>
        <w:adjustRightInd w:val="0"/>
        <w:spacing w:after="0" w:line="240" w:lineRule="auto"/>
        <w:ind w:left="720"/>
        <w:textAlignment w:val="baseline"/>
        <w:outlineLvl w:val="0"/>
        <w:rPr>
          <w:sz w:val="18"/>
          <w:lang w:val="pt-BR"/>
        </w:rPr>
      </w:pPr>
      <w:r>
        <w:rPr>
          <w:rFonts w:ascii="Calibri" w:eastAsia="Calibri" w:hAnsi="Calibri" w:cs="Arial"/>
          <w:b/>
          <w:sz w:val="18"/>
          <w:szCs w:val="18"/>
          <w:lang w:val="pt-BR"/>
        </w:rPr>
        <w:t>Microsoft Ireland Operations, Ltd</w:t>
      </w:r>
      <w:r>
        <w:rPr>
          <w:rFonts w:ascii="Calibri" w:eastAsia="Calibri" w:hAnsi="Calibri" w:cs="Arial"/>
          <w:sz w:val="18"/>
          <w:szCs w:val="18"/>
          <w:lang w:val="pt-BR"/>
        </w:rPr>
        <w:t>.</w:t>
      </w:r>
    </w:p>
    <w:p w:rsidR="00335865" w:rsidRDefault="0014121B">
      <w:pPr>
        <w:suppressAutoHyphens/>
        <w:overflowPunct w:val="0"/>
        <w:autoSpaceDE w:val="0"/>
        <w:autoSpaceDN w:val="0"/>
        <w:adjustRightInd w:val="0"/>
        <w:spacing w:after="0" w:line="240" w:lineRule="auto"/>
        <w:ind w:left="720"/>
        <w:textAlignment w:val="baseline"/>
        <w:outlineLvl w:val="0"/>
        <w:rPr>
          <w:sz w:val="18"/>
          <w:lang w:val="pt-BR"/>
        </w:rPr>
      </w:pPr>
      <w:r>
        <w:rPr>
          <w:rFonts w:ascii="Calibri" w:eastAsia="Calibri" w:hAnsi="Calibri" w:cs="Arial"/>
          <w:sz w:val="18"/>
          <w:szCs w:val="18"/>
          <w:lang w:val="pt-BR"/>
        </w:rPr>
        <w:t>Aos cuidados de: Proteção de Dados</w:t>
      </w:r>
    </w:p>
    <w:p w:rsidR="00335865" w:rsidRPr="00AD60C5" w:rsidRDefault="0014121B">
      <w:pPr>
        <w:pStyle w:val="ProductList-Body"/>
        <w:ind w:left="720"/>
      </w:pPr>
      <w:r w:rsidRPr="00AD60C5">
        <w:rPr>
          <w:rFonts w:ascii="Calibri" w:eastAsia="Calibri" w:hAnsi="Calibri" w:cs="Arial"/>
          <w:szCs w:val="18"/>
        </w:rPr>
        <w:t>One Microsoft Place</w:t>
      </w:r>
    </w:p>
    <w:p w:rsidR="00335865" w:rsidRPr="00AD60C5" w:rsidRDefault="0014121B">
      <w:pPr>
        <w:pStyle w:val="ProductList-Body"/>
        <w:ind w:left="720"/>
      </w:pPr>
      <w:r w:rsidRPr="00AD60C5">
        <w:rPr>
          <w:rFonts w:ascii="Calibri" w:eastAsia="Calibri" w:hAnsi="Calibri" w:cs="Arial"/>
          <w:szCs w:val="18"/>
        </w:rPr>
        <w:t>South County Business Park</w:t>
      </w:r>
    </w:p>
    <w:p w:rsidR="00335865" w:rsidRDefault="0014121B">
      <w:pPr>
        <w:pStyle w:val="ProductList-Body"/>
        <w:ind w:left="720"/>
        <w:rPr>
          <w:lang w:val="pt-BR"/>
        </w:rPr>
      </w:pPr>
      <w:r>
        <w:rPr>
          <w:rFonts w:ascii="Calibri" w:eastAsia="Calibri" w:hAnsi="Calibri" w:cs="Arial"/>
          <w:szCs w:val="18"/>
          <w:lang w:val="pt-BR"/>
        </w:rPr>
        <w:t>Leopardstown</w:t>
      </w:r>
    </w:p>
    <w:p w:rsidR="00335865" w:rsidRDefault="0014121B">
      <w:pPr>
        <w:pStyle w:val="ProductList-Body"/>
        <w:ind w:left="720"/>
        <w:rPr>
          <w:lang w:val="pt-BR"/>
        </w:rPr>
      </w:pPr>
      <w:r>
        <w:rPr>
          <w:rFonts w:ascii="Calibri" w:eastAsia="Calibri" w:hAnsi="Calibri" w:cs="Arial"/>
          <w:szCs w:val="18"/>
          <w:lang w:val="pt-BR"/>
        </w:rPr>
        <w:t>Dublim 18, D18 P521, Irlanda</w:t>
      </w:r>
      <w:bookmarkStart w:id="18" w:name="_Hlk495669384"/>
      <w:bookmarkStart w:id="19" w:name="_Toc431459514"/>
      <w:bookmarkStart w:id="20" w:name="DataProcessingTerms"/>
      <w:bookmarkStart w:id="21" w:name="_Toc489605587"/>
    </w:p>
    <w:p w:rsidR="00335865" w:rsidRDefault="0014121B">
      <w:pPr>
        <w:pStyle w:val="ProductList-SectionHeading"/>
        <w:tabs>
          <w:tab w:val="center" w:pos="5400"/>
        </w:tabs>
        <w:spacing w:before="240"/>
        <w:outlineLvl w:val="0"/>
        <w:rPr>
          <w:lang w:val="pt-BR"/>
        </w:rPr>
      </w:pPr>
      <w:r>
        <w:rPr>
          <w:rFonts w:ascii="Calibri Light" w:eastAsia="Calibri Light" w:hAnsi="Calibri Light" w:cs="Arial"/>
          <w:szCs w:val="40"/>
          <w:lang w:val="pt-BR"/>
        </w:rPr>
        <w:t>Segurança de Dados</w:t>
      </w:r>
      <w:bookmarkEnd w:id="18"/>
      <w:r>
        <w:rPr>
          <w:rFonts w:ascii="Calibri Light" w:eastAsia="Calibri Light" w:hAnsi="Calibri Light" w:cs="Arial"/>
          <w:szCs w:val="40"/>
          <w:lang w:val="pt-BR"/>
        </w:rPr>
        <w:t xml:space="preserve"> </w:t>
      </w:r>
    </w:p>
    <w:p w:rsidR="00335865" w:rsidRDefault="0014121B">
      <w:pPr>
        <w:pStyle w:val="ProductList-SubSubSectionHeading"/>
        <w:outlineLvl w:val="2"/>
        <w:rPr>
          <w:lang w:val="pt-BR"/>
        </w:rPr>
      </w:pPr>
      <w:r>
        <w:rPr>
          <w:rFonts w:ascii="Calibri" w:eastAsia="Calibri" w:hAnsi="Calibri" w:cs="Arial"/>
          <w:szCs w:val="18"/>
          <w:lang w:val="pt-BR"/>
        </w:rPr>
        <w:t>Práticas e Políticas de Segurança</w:t>
      </w:r>
    </w:p>
    <w:p w:rsidR="00335865" w:rsidRDefault="0014121B">
      <w:pPr>
        <w:pStyle w:val="ProductList-SubSubSectionHeading"/>
        <w:spacing w:after="120"/>
        <w:outlineLvl w:val="2"/>
        <w:rPr>
          <w:b w:val="0"/>
          <w:color w:val="auto"/>
          <w:lang w:val="pt-BR"/>
        </w:rPr>
      </w:pPr>
      <w:r>
        <w:rPr>
          <w:rFonts w:ascii="Calibri" w:eastAsia="Calibri" w:hAnsi="Calibri" w:cs="Arial"/>
          <w:b w:val="0"/>
          <w:color w:val="auto"/>
          <w:szCs w:val="18"/>
          <w:lang w:val="pt-BR"/>
        </w:rPr>
        <w:t xml:space="preserve">A Microsoft implementará e manterá medidas técnicas e organizacionais adequadas para proteger os Dados de Suporte e Consultoria e os Dados Pessoais. Essas medidas devem ser estabelecidas em uma Política de Segurança da Microsoft. A Microsoft disponibilizará essa política ao Cliente, junto com as descrições dos controles de segurança vigentes para os Serviços Profissionais e outras informações solicitadas de forma razoável pelo Cliente em relação às práticas e políticas de segurança da Microsoft. </w:t>
      </w:r>
    </w:p>
    <w:p w:rsidR="00335865" w:rsidRDefault="0014121B">
      <w:pPr>
        <w:pStyle w:val="ProductList-SubSubSectionHeading"/>
        <w:spacing w:after="120"/>
        <w:outlineLvl w:val="2"/>
        <w:rPr>
          <w:b w:val="0"/>
          <w:color w:val="auto"/>
          <w:lang w:val="pt-BR"/>
        </w:rPr>
      </w:pPr>
      <w:r>
        <w:rPr>
          <w:rFonts w:ascii="Calibri" w:eastAsia="Calibri" w:hAnsi="Calibri" w:cs="Arial"/>
          <w:b w:val="0"/>
          <w:color w:val="auto"/>
          <w:szCs w:val="18"/>
          <w:lang w:val="pt-BR"/>
        </w:rPr>
        <w:t>Além disso, essas medidas devem atender aos requisitos estabelecidos na ISO 27001, ISO 27002 e ISO 27018. Os Serviços Profissionais também implementam e mantêm as medidas de segurança estabelecidas no Anexo 1 para dos Dados de Suporte e Consultoria.</w:t>
      </w:r>
    </w:p>
    <w:p w:rsidR="00335865" w:rsidRDefault="0014121B">
      <w:pPr>
        <w:pStyle w:val="ProductList-SubSubSectionHeading"/>
        <w:spacing w:after="120"/>
        <w:outlineLvl w:val="2"/>
        <w:rPr>
          <w:b w:val="0"/>
          <w:color w:val="auto"/>
          <w:lang w:val="pt-BR"/>
        </w:rPr>
      </w:pPr>
      <w:r>
        <w:rPr>
          <w:rFonts w:ascii="Calibri" w:eastAsia="Calibri" w:hAnsi="Calibri" w:cs="Arial"/>
          <w:b w:val="0"/>
          <w:color w:val="auto"/>
          <w:szCs w:val="18"/>
          <w:lang w:val="pt-BR"/>
        </w:rPr>
        <w:t>A Microsoft não eliminará as ISO 27001, ISO 27002, ISO 27018, a menos que não sejam mais usadas no setor e sejam substituídas por uma sucessora (se houver).</w:t>
      </w:r>
    </w:p>
    <w:p w:rsidR="00335865" w:rsidRDefault="00335865">
      <w:pPr>
        <w:pStyle w:val="ProductList-SubSubSectionHeading"/>
        <w:outlineLvl w:val="2"/>
        <w:rPr>
          <w:lang w:val="pt-BR"/>
        </w:rPr>
      </w:pPr>
    </w:p>
    <w:bookmarkEnd w:id="19"/>
    <w:bookmarkEnd w:id="20"/>
    <w:bookmarkEnd w:id="21"/>
    <w:p w:rsidR="00335865" w:rsidRDefault="0014121B">
      <w:pPr>
        <w:pStyle w:val="ProductList-SubSubSectionHeading"/>
        <w:outlineLvl w:val="2"/>
        <w:rPr>
          <w:lang w:val="pt-BR"/>
        </w:rPr>
      </w:pPr>
      <w:r>
        <w:rPr>
          <w:rFonts w:ascii="Calibri" w:eastAsia="Calibri" w:hAnsi="Calibri" w:cs="Arial"/>
          <w:szCs w:val="18"/>
          <w:lang w:val="pt-BR"/>
        </w:rPr>
        <w:t>Anexo 1 – Medidas de Segurança</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A Microsoft implementou e manterá as seguintes medidas de segurança que, em conjunto com os compromissos de segurança deste Adendo (inclusive os termos do RGPD), são a única responsabilidade da Microsoft em relação à segurança.</w:t>
      </w:r>
    </w:p>
    <w:p w:rsidR="00335865" w:rsidRDefault="00335865">
      <w:pPr>
        <w:pStyle w:val="ProductList-Body"/>
        <w:rPr>
          <w:lang w:val="pt-BR"/>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335865">
        <w:trPr>
          <w:tblHeader/>
        </w:trPr>
        <w:tc>
          <w:tcPr>
            <w:tcW w:w="2610" w:type="dxa"/>
            <w:shd w:val="clear" w:color="auto" w:fill="0072C6"/>
          </w:tcPr>
          <w:p w:rsidR="00335865" w:rsidRDefault="0014121B">
            <w:pPr>
              <w:pStyle w:val="ProductList-Body"/>
              <w:spacing w:before="20" w:after="20"/>
              <w:rPr>
                <w:color w:val="FFFFFF" w:themeColor="background1"/>
                <w:sz w:val="16"/>
                <w:szCs w:val="16"/>
                <w:lang w:val="pt-BR"/>
              </w:rPr>
            </w:pPr>
            <w:r>
              <w:rPr>
                <w:rFonts w:ascii="Calibri" w:eastAsia="Calibri" w:hAnsi="Calibri" w:cs="Arial"/>
                <w:color w:val="FFFFFF"/>
                <w:sz w:val="16"/>
                <w:szCs w:val="16"/>
                <w:lang w:val="pt-BR"/>
              </w:rPr>
              <w:t>Domínio</w:t>
            </w:r>
          </w:p>
        </w:tc>
        <w:tc>
          <w:tcPr>
            <w:tcW w:w="8190" w:type="dxa"/>
            <w:shd w:val="clear" w:color="auto" w:fill="0072C6"/>
          </w:tcPr>
          <w:p w:rsidR="00335865" w:rsidRDefault="0014121B">
            <w:pPr>
              <w:pStyle w:val="ProductList-Body"/>
              <w:spacing w:before="20" w:after="20"/>
              <w:rPr>
                <w:color w:val="FFFFFF" w:themeColor="background1"/>
                <w:sz w:val="16"/>
                <w:szCs w:val="16"/>
                <w:lang w:val="pt-BR"/>
              </w:rPr>
            </w:pPr>
            <w:r>
              <w:rPr>
                <w:rFonts w:ascii="Calibri" w:eastAsia="Calibri" w:hAnsi="Calibri" w:cs="Arial"/>
                <w:color w:val="FFFFFF"/>
                <w:sz w:val="16"/>
                <w:szCs w:val="16"/>
                <w:lang w:val="pt-BR"/>
              </w:rPr>
              <w:t>Práticas</w:t>
            </w:r>
          </w:p>
        </w:tc>
      </w:tr>
      <w:tr w:rsidR="00335865" w:rsidRPr="00AD60C5">
        <w:tc>
          <w:tcPr>
            <w:tcW w:w="2610" w:type="dxa"/>
            <w:vAlign w:val="center"/>
          </w:tcPr>
          <w:p w:rsidR="00335865" w:rsidRDefault="0014121B">
            <w:pPr>
              <w:pStyle w:val="ProductList-Body"/>
              <w:rPr>
                <w:sz w:val="16"/>
                <w:szCs w:val="16"/>
                <w:lang w:val="pt-BR"/>
              </w:rPr>
            </w:pPr>
            <w:r>
              <w:rPr>
                <w:rFonts w:ascii="Calibri" w:eastAsia="Calibri" w:hAnsi="Calibri" w:cs="Arial"/>
                <w:sz w:val="16"/>
                <w:szCs w:val="16"/>
                <w:lang w:val="pt-BR"/>
              </w:rPr>
              <w:t>Organização da Segurança das Informações</w:t>
            </w:r>
          </w:p>
        </w:tc>
        <w:tc>
          <w:tcPr>
            <w:tcW w:w="8190" w:type="dxa"/>
          </w:tcPr>
          <w:p w:rsidR="00335865" w:rsidRDefault="0014121B">
            <w:pPr>
              <w:pStyle w:val="ProductList-Body"/>
              <w:rPr>
                <w:b/>
                <w:sz w:val="16"/>
                <w:szCs w:val="16"/>
                <w:lang w:val="pt-BR"/>
              </w:rPr>
            </w:pPr>
            <w:r>
              <w:rPr>
                <w:rFonts w:ascii="Calibri" w:eastAsia="Calibri" w:hAnsi="Calibri" w:cs="Arial"/>
                <w:b/>
                <w:sz w:val="16"/>
                <w:szCs w:val="16"/>
                <w:lang w:val="pt-BR"/>
              </w:rPr>
              <w:t xml:space="preserve">Propriedade da Segurança. </w:t>
            </w:r>
            <w:r>
              <w:rPr>
                <w:rFonts w:ascii="Calibri" w:eastAsia="Calibri" w:hAnsi="Calibri" w:cs="Arial"/>
                <w:sz w:val="16"/>
                <w:szCs w:val="16"/>
                <w:lang w:val="pt-BR"/>
              </w:rPr>
              <w:t>A Microsoft indicou um ou mais agentes de segurança responsáveis pela coordenação e pelo monitoramento das regras e procedimentos de segurança.</w:t>
            </w:r>
          </w:p>
          <w:p w:rsidR="00335865" w:rsidRDefault="0014121B">
            <w:pPr>
              <w:pStyle w:val="ProductList-Body"/>
              <w:rPr>
                <w:b/>
                <w:sz w:val="16"/>
                <w:szCs w:val="16"/>
                <w:lang w:val="pt-BR"/>
              </w:rPr>
            </w:pPr>
            <w:r>
              <w:rPr>
                <w:rFonts w:ascii="Calibri" w:eastAsia="Calibri" w:hAnsi="Calibri" w:cs="Arial"/>
                <w:b/>
                <w:sz w:val="16"/>
                <w:szCs w:val="16"/>
                <w:lang w:val="pt-BR"/>
              </w:rPr>
              <w:t xml:space="preserve">Funções e Responsabilidades de Segurança. </w:t>
            </w:r>
            <w:r>
              <w:rPr>
                <w:rFonts w:ascii="Calibri" w:eastAsia="Calibri" w:hAnsi="Calibri" w:cs="Arial"/>
                <w:sz w:val="16"/>
                <w:szCs w:val="16"/>
                <w:lang w:val="pt-BR"/>
              </w:rPr>
              <w:t>O pessoal da Microsoft com acesso aos Dados de Suporte e Consultoria estão sujeitos a obrigações de confidencialidade.</w:t>
            </w:r>
          </w:p>
          <w:p w:rsidR="00335865" w:rsidRDefault="0014121B">
            <w:pPr>
              <w:pStyle w:val="ProductList-Body"/>
              <w:rPr>
                <w:b/>
                <w:sz w:val="16"/>
                <w:szCs w:val="16"/>
                <w:lang w:val="pt-BR"/>
              </w:rPr>
            </w:pPr>
            <w:r>
              <w:rPr>
                <w:rFonts w:ascii="Calibri" w:eastAsia="Calibri" w:hAnsi="Calibri" w:cs="Arial"/>
                <w:b/>
                <w:sz w:val="16"/>
                <w:szCs w:val="16"/>
                <w:lang w:val="pt-BR"/>
              </w:rPr>
              <w:lastRenderedPageBreak/>
              <w:t xml:space="preserve">Programa de Gerenciamento de Riscos. </w:t>
            </w:r>
            <w:r>
              <w:rPr>
                <w:rFonts w:ascii="Calibri" w:eastAsia="Calibri" w:hAnsi="Calibri" w:cs="Arial"/>
                <w:sz w:val="16"/>
                <w:szCs w:val="16"/>
                <w:lang w:val="pt-BR"/>
              </w:rPr>
              <w:t>A Microsoft realizou uma avaliação de riscos antes de processar os Dados de Suporte e Consultoria.</w:t>
            </w:r>
          </w:p>
          <w:p w:rsidR="00335865" w:rsidRDefault="0014121B">
            <w:pPr>
              <w:pStyle w:val="ProductList-Body"/>
              <w:rPr>
                <w:sz w:val="16"/>
                <w:szCs w:val="16"/>
                <w:lang w:val="pt-BR"/>
              </w:rPr>
            </w:pPr>
            <w:r>
              <w:rPr>
                <w:rFonts w:ascii="Calibri" w:eastAsia="Calibri" w:hAnsi="Calibri" w:cs="Arial"/>
                <w:sz w:val="16"/>
                <w:szCs w:val="16"/>
                <w:lang w:val="pt-BR"/>
              </w:rPr>
              <w:t>A Microsoft mantém seus documentos de segurança relativos aos seus requisitos de retenção após o término da vigência.</w:t>
            </w:r>
          </w:p>
        </w:tc>
      </w:tr>
      <w:tr w:rsidR="00335865" w:rsidRPr="00AD60C5">
        <w:tc>
          <w:tcPr>
            <w:tcW w:w="2610" w:type="dxa"/>
            <w:vAlign w:val="center"/>
          </w:tcPr>
          <w:p w:rsidR="00335865" w:rsidRDefault="0014121B">
            <w:pPr>
              <w:pStyle w:val="ProductList-Body"/>
              <w:rPr>
                <w:sz w:val="16"/>
                <w:szCs w:val="16"/>
                <w:lang w:val="pt-BR"/>
              </w:rPr>
            </w:pPr>
            <w:r>
              <w:rPr>
                <w:rFonts w:ascii="Calibri" w:eastAsia="Calibri" w:hAnsi="Calibri" w:cs="Arial"/>
                <w:sz w:val="16"/>
                <w:szCs w:val="16"/>
                <w:lang w:val="pt-BR"/>
              </w:rPr>
              <w:lastRenderedPageBreak/>
              <w:t>Gerenciamento de Ativos</w:t>
            </w:r>
          </w:p>
        </w:tc>
        <w:tc>
          <w:tcPr>
            <w:tcW w:w="8190" w:type="dxa"/>
          </w:tcPr>
          <w:p w:rsidR="00335865" w:rsidRDefault="0014121B">
            <w:pPr>
              <w:pStyle w:val="ProductList-Body"/>
              <w:rPr>
                <w:b/>
                <w:sz w:val="16"/>
                <w:szCs w:val="16"/>
                <w:lang w:val="pt-BR"/>
              </w:rPr>
            </w:pPr>
            <w:r>
              <w:rPr>
                <w:rFonts w:ascii="Calibri" w:eastAsia="Calibri" w:hAnsi="Calibri" w:cs="Arial"/>
                <w:b/>
                <w:sz w:val="16"/>
                <w:szCs w:val="16"/>
                <w:lang w:val="pt-BR"/>
              </w:rPr>
              <w:t xml:space="preserve">Inventário de Ativos. </w:t>
            </w:r>
            <w:r>
              <w:rPr>
                <w:rFonts w:ascii="Calibri" w:eastAsia="Calibri" w:hAnsi="Calibri" w:cs="Arial"/>
                <w:sz w:val="16"/>
                <w:szCs w:val="16"/>
                <w:lang w:val="pt-BR"/>
              </w:rPr>
              <w:t>A Microsoft mantém um inventário de todas as mídias nas quais os Dados de Suporte e Consultoria estão armazenados. O acesso aos inventários dessas mídias é restrito ao pessoal da Microsoft autorizado por escrito a ter esse acesso.</w:t>
            </w:r>
          </w:p>
          <w:p w:rsidR="00335865" w:rsidRDefault="0014121B">
            <w:pPr>
              <w:pStyle w:val="ProductList-Body"/>
              <w:rPr>
                <w:b/>
                <w:sz w:val="16"/>
                <w:szCs w:val="16"/>
                <w:lang w:val="pt-BR"/>
              </w:rPr>
            </w:pPr>
            <w:r>
              <w:rPr>
                <w:rFonts w:ascii="Calibri" w:eastAsia="Calibri" w:hAnsi="Calibri" w:cs="Arial"/>
                <w:b/>
                <w:sz w:val="16"/>
                <w:szCs w:val="16"/>
                <w:lang w:val="pt-BR"/>
              </w:rPr>
              <w:t>Manuseio de Ativos.</w:t>
            </w:r>
          </w:p>
          <w:p w:rsidR="00335865" w:rsidRDefault="0014121B">
            <w:pPr>
              <w:pStyle w:val="ProductList-Body"/>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classifica os Dados de Suporte e Consultoria para ajudar a identificá-los e a restringir adequadamente o acesso a eles.</w:t>
            </w:r>
          </w:p>
          <w:p w:rsidR="00335865" w:rsidRDefault="0014121B">
            <w:pPr>
              <w:pStyle w:val="ProductList-Body"/>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 xml:space="preserve">A Microsoft impõe restrições à impressão dos Dados de Suporte e Consultoria e tem procedimentos para descarte de materiais impressos que contenham Dados de Suporte e Consultoria. </w:t>
            </w:r>
          </w:p>
          <w:p w:rsidR="00335865" w:rsidRDefault="0014121B">
            <w:pPr>
              <w:pStyle w:val="ProductList-Body"/>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O pessoal da Microsoft deve obter autorização da Microsoft antes de armazenar os Dados de Suporte e Consultoria em dispositivos portáteis, acessá-los remotamente ou processá-los fora das instalações da Microsoft.</w:t>
            </w:r>
          </w:p>
        </w:tc>
      </w:tr>
      <w:tr w:rsidR="00335865">
        <w:tc>
          <w:tcPr>
            <w:tcW w:w="2610" w:type="dxa"/>
            <w:vAlign w:val="center"/>
          </w:tcPr>
          <w:p w:rsidR="00335865" w:rsidRDefault="0014121B">
            <w:pPr>
              <w:pStyle w:val="ProductList-Body"/>
              <w:rPr>
                <w:sz w:val="16"/>
                <w:szCs w:val="16"/>
                <w:lang w:val="pt-BR"/>
              </w:rPr>
            </w:pPr>
            <w:r>
              <w:rPr>
                <w:rFonts w:ascii="Calibri" w:eastAsia="Calibri" w:hAnsi="Calibri" w:cs="Arial"/>
                <w:sz w:val="16"/>
                <w:szCs w:val="16"/>
                <w:lang w:val="pt-BR"/>
              </w:rPr>
              <w:t>Segurança dos Recursos Humanos</w:t>
            </w:r>
          </w:p>
        </w:tc>
        <w:tc>
          <w:tcPr>
            <w:tcW w:w="8190" w:type="dxa"/>
          </w:tcPr>
          <w:p w:rsidR="00335865" w:rsidRDefault="0014121B">
            <w:pPr>
              <w:pStyle w:val="ProductList-Body"/>
              <w:rPr>
                <w:sz w:val="16"/>
                <w:szCs w:val="16"/>
                <w:lang w:val="pt-BR"/>
              </w:rPr>
            </w:pPr>
            <w:r>
              <w:rPr>
                <w:rFonts w:ascii="Calibri" w:eastAsia="Calibri" w:hAnsi="Calibri" w:cs="Arial"/>
                <w:b/>
                <w:sz w:val="16"/>
                <w:szCs w:val="16"/>
                <w:lang w:val="pt-BR"/>
              </w:rPr>
              <w:t>Treinamento de Segurança</w:t>
            </w:r>
            <w:r>
              <w:rPr>
                <w:rFonts w:ascii="Calibri" w:eastAsia="Calibri" w:hAnsi="Calibri" w:cs="Arial"/>
                <w:sz w:val="16"/>
                <w:szCs w:val="16"/>
                <w:lang w:val="pt-BR"/>
              </w:rPr>
              <w:t>.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335865" w:rsidRPr="00AD60C5">
        <w:tc>
          <w:tcPr>
            <w:tcW w:w="2610" w:type="dxa"/>
            <w:vAlign w:val="center"/>
          </w:tcPr>
          <w:p w:rsidR="00335865" w:rsidRDefault="0014121B">
            <w:pPr>
              <w:pStyle w:val="ProductList-Body"/>
              <w:rPr>
                <w:sz w:val="16"/>
                <w:szCs w:val="16"/>
                <w:lang w:val="pt-BR"/>
              </w:rPr>
            </w:pPr>
            <w:r>
              <w:rPr>
                <w:rFonts w:ascii="Calibri" w:eastAsia="Calibri" w:hAnsi="Calibri" w:cs="Arial"/>
                <w:sz w:val="16"/>
                <w:szCs w:val="16"/>
                <w:lang w:val="pt-BR"/>
              </w:rPr>
              <w:t>Segurança Física e Ambiental</w:t>
            </w:r>
          </w:p>
        </w:tc>
        <w:tc>
          <w:tcPr>
            <w:tcW w:w="8190" w:type="dxa"/>
          </w:tcPr>
          <w:p w:rsidR="00335865" w:rsidRDefault="0014121B">
            <w:pPr>
              <w:pStyle w:val="ProductList-Body"/>
              <w:rPr>
                <w:b/>
                <w:sz w:val="16"/>
                <w:szCs w:val="16"/>
                <w:lang w:val="pt-BR"/>
              </w:rPr>
            </w:pPr>
            <w:r>
              <w:rPr>
                <w:rFonts w:ascii="Calibri" w:eastAsia="Calibri" w:hAnsi="Calibri" w:cs="Arial"/>
                <w:b/>
                <w:sz w:val="16"/>
                <w:szCs w:val="16"/>
                <w:lang w:val="pt-BR"/>
              </w:rPr>
              <w:t xml:space="preserve">Acesso Físico a Instalações. </w:t>
            </w:r>
            <w:r>
              <w:rPr>
                <w:rFonts w:ascii="Calibri" w:eastAsia="Calibri" w:hAnsi="Calibri" w:cs="Arial"/>
                <w:sz w:val="16"/>
                <w:szCs w:val="16"/>
                <w:lang w:val="pt-BR"/>
              </w:rPr>
              <w:t>A Microsoft limita o acesso, para indivíduos autorizados identificados, às instalações onde os sistemas de informação que processam os Dados de Suporte e Consultoria estão localizados.</w:t>
            </w:r>
          </w:p>
          <w:p w:rsidR="00335865" w:rsidRDefault="0014121B">
            <w:pPr>
              <w:pStyle w:val="ProductList-Body"/>
              <w:rPr>
                <w:sz w:val="16"/>
                <w:szCs w:val="16"/>
                <w:lang w:val="pt-BR"/>
              </w:rPr>
            </w:pPr>
            <w:r>
              <w:rPr>
                <w:rFonts w:ascii="Calibri" w:eastAsia="Calibri" w:hAnsi="Calibri" w:cs="Arial"/>
                <w:b/>
                <w:sz w:val="16"/>
                <w:szCs w:val="16"/>
                <w:lang w:val="pt-BR"/>
              </w:rPr>
              <w:t xml:space="preserve">Acesso Físico a Componentes. </w:t>
            </w:r>
            <w:r>
              <w:rPr>
                <w:rFonts w:ascii="Calibri" w:eastAsia="Calibri" w:hAnsi="Calibri" w:cs="Arial"/>
                <w:sz w:val="16"/>
                <w:szCs w:val="16"/>
                <w:lang w:val="pt-BR"/>
              </w:rPr>
              <w:t>A Microsoft mantém registros sobre a saída e a entrada de mídias que contenham Dados de Suporte e Consultoria, inclusive o tipo de mídia, os remetentes/destinatários autorizados, a data e a hora, o número de mídias e os tipos de Dados de Suporte e Consultoria que elas contêm.</w:t>
            </w:r>
          </w:p>
          <w:p w:rsidR="00335865" w:rsidRDefault="0014121B">
            <w:pPr>
              <w:pStyle w:val="ProductList-Body"/>
              <w:rPr>
                <w:b/>
                <w:sz w:val="16"/>
                <w:szCs w:val="16"/>
                <w:lang w:val="pt-BR"/>
              </w:rPr>
            </w:pPr>
            <w:r>
              <w:rPr>
                <w:rFonts w:ascii="Calibri" w:eastAsia="Calibri" w:hAnsi="Calibri" w:cs="Arial"/>
                <w:b/>
                <w:sz w:val="16"/>
                <w:szCs w:val="16"/>
                <w:lang w:val="pt-BR"/>
              </w:rPr>
              <w:t xml:space="preserve">Proteção contra Interrupções. </w:t>
            </w:r>
            <w:r>
              <w:rPr>
                <w:rFonts w:ascii="Calibri" w:eastAsia="Calibri" w:hAnsi="Calibri" w:cs="Arial"/>
                <w:sz w:val="16"/>
                <w:szCs w:val="16"/>
                <w:lang w:val="pt-BR"/>
              </w:rPr>
              <w:t>A Microsoft usa uma variedade de sistemas padrão do setor para proteger-se contra a perda de dados devido a falhas na fonte de alimentação ou interferências de linha.</w:t>
            </w:r>
          </w:p>
          <w:p w:rsidR="00335865" w:rsidRDefault="0014121B">
            <w:pPr>
              <w:pStyle w:val="ProductList-Body"/>
              <w:spacing w:before="40"/>
              <w:rPr>
                <w:sz w:val="16"/>
                <w:szCs w:val="16"/>
                <w:lang w:val="pt-BR"/>
              </w:rPr>
            </w:pPr>
            <w:r>
              <w:rPr>
                <w:rFonts w:ascii="Calibri" w:eastAsia="Calibri" w:hAnsi="Calibri" w:cs="Arial"/>
                <w:b/>
                <w:sz w:val="16"/>
                <w:szCs w:val="16"/>
                <w:lang w:val="pt-BR"/>
              </w:rPr>
              <w:t xml:space="preserve">Descarte de Componentes. </w:t>
            </w:r>
            <w:r>
              <w:rPr>
                <w:rFonts w:ascii="Calibri" w:eastAsia="Calibri" w:hAnsi="Calibri" w:cs="Arial"/>
                <w:sz w:val="16"/>
                <w:szCs w:val="16"/>
                <w:lang w:val="pt-BR"/>
              </w:rPr>
              <w:t>A Microsoft usa processos padrão do setor para excluir Dados de Suporte e Consultoria quando não são mais necessários.</w:t>
            </w:r>
          </w:p>
        </w:tc>
      </w:tr>
      <w:tr w:rsidR="00335865" w:rsidRPr="00AD60C5">
        <w:tc>
          <w:tcPr>
            <w:tcW w:w="2610" w:type="dxa"/>
            <w:tcBorders>
              <w:bottom w:val="single" w:sz="4" w:space="0" w:color="auto"/>
            </w:tcBorders>
            <w:vAlign w:val="center"/>
          </w:tcPr>
          <w:p w:rsidR="00335865" w:rsidRDefault="0014121B">
            <w:pPr>
              <w:pStyle w:val="ProductList-Body"/>
              <w:rPr>
                <w:sz w:val="16"/>
                <w:szCs w:val="16"/>
                <w:lang w:val="pt-BR"/>
              </w:rPr>
            </w:pPr>
            <w:r>
              <w:rPr>
                <w:rFonts w:ascii="Calibri" w:eastAsia="Calibri" w:hAnsi="Calibri" w:cs="Arial"/>
                <w:sz w:val="16"/>
                <w:szCs w:val="16"/>
                <w:lang w:val="pt-BR"/>
              </w:rPr>
              <w:t>Gerenciamento de Comunicações e Operações</w:t>
            </w:r>
          </w:p>
        </w:tc>
        <w:tc>
          <w:tcPr>
            <w:tcW w:w="8190" w:type="dxa"/>
            <w:tcBorders>
              <w:bottom w:val="single" w:sz="4" w:space="0" w:color="auto"/>
            </w:tcBorders>
          </w:tcPr>
          <w:p w:rsidR="00335865" w:rsidRDefault="0014121B">
            <w:pPr>
              <w:pStyle w:val="ProductList-Body"/>
              <w:rPr>
                <w:sz w:val="16"/>
                <w:szCs w:val="16"/>
                <w:lang w:val="pt-BR"/>
              </w:rPr>
            </w:pPr>
            <w:r>
              <w:rPr>
                <w:rFonts w:ascii="Calibri" w:eastAsia="Calibri" w:hAnsi="Calibri" w:cs="Arial"/>
                <w:b/>
                <w:sz w:val="16"/>
                <w:szCs w:val="16"/>
                <w:lang w:val="pt-BR"/>
              </w:rPr>
              <w:t>Política Operacional</w:t>
            </w:r>
            <w:r>
              <w:rPr>
                <w:rFonts w:ascii="Calibri" w:eastAsia="Calibri" w:hAnsi="Calibri" w:cs="Arial"/>
                <w:sz w:val="16"/>
                <w:szCs w:val="16"/>
                <w:lang w:val="pt-BR"/>
              </w:rPr>
              <w:t>. A Microsoft mantém documentos de segurança descrevendo suas medidas de segurança e os procedimentos relevantes e responsabilidades de seu pessoal com acesso aos Dados de Suporte e Consultoria.</w:t>
            </w:r>
          </w:p>
          <w:p w:rsidR="00335865" w:rsidRDefault="0014121B">
            <w:pPr>
              <w:pStyle w:val="ProductList-Body"/>
              <w:spacing w:before="40"/>
              <w:rPr>
                <w:b/>
                <w:sz w:val="16"/>
                <w:szCs w:val="16"/>
                <w:lang w:val="pt-BR"/>
              </w:rPr>
            </w:pPr>
            <w:r>
              <w:rPr>
                <w:rFonts w:ascii="Calibri" w:eastAsia="Calibri" w:hAnsi="Calibri" w:cs="Arial"/>
                <w:b/>
                <w:sz w:val="16"/>
                <w:szCs w:val="16"/>
                <w:lang w:val="pt-BR"/>
              </w:rPr>
              <w:t>Procedimentos de Recuperação de Dados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Em uma base contínua, mas com uma frequência mínima de uma vez por semana (a menos que os Dados de Suporte e Consultoria tenham sido atualizados durante esse período), a Microsoft mantém várias cópias dos Dados de Suporte e Consultoria, das quais os Dados de Suporte e Consultoria podem ser recuperados.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armazena cópias dos Dados de Suporte e Consultoria e os procedimentos de recuperação de dados em outro local que não seja onde se localiza o computador principal que processa os Dados de Suporte e Consultoria.</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tem procedimentos específicos em operação que regem o acesso a cópias dos Dados de Suporte e Consultoria.</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revisa os procedimentos de recuperação de dados no mínimo anualmente.</w:t>
            </w:r>
          </w:p>
          <w:p w:rsidR="00335865" w:rsidRDefault="0014121B">
            <w:pPr>
              <w:pStyle w:val="ProductList-Body"/>
              <w:spacing w:before="40"/>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registra esforços de restauração de dados, inclusive a pessoa responsável, a descrição dos dados restaurados e, quando aplicável, a pessoa responsável e quais dados (se houver) precisaram ser inseridos manualmente no processo de recuperação de dados.</w:t>
            </w:r>
          </w:p>
          <w:p w:rsidR="00335865" w:rsidRDefault="0014121B">
            <w:pPr>
              <w:pStyle w:val="ProductList-Body"/>
              <w:spacing w:before="40"/>
              <w:rPr>
                <w:sz w:val="16"/>
                <w:szCs w:val="16"/>
                <w:lang w:val="pt-BR"/>
              </w:rPr>
            </w:pPr>
            <w:r>
              <w:rPr>
                <w:rFonts w:ascii="Calibri" w:eastAsia="Calibri" w:hAnsi="Calibri" w:cs="Arial"/>
                <w:b/>
                <w:sz w:val="16"/>
                <w:szCs w:val="16"/>
                <w:lang w:val="pt-BR"/>
              </w:rPr>
              <w:t>Software Mal-intencionado</w:t>
            </w:r>
            <w:r>
              <w:rPr>
                <w:rFonts w:ascii="Calibri" w:eastAsia="Calibri" w:hAnsi="Calibri" w:cs="Arial"/>
                <w:sz w:val="16"/>
                <w:szCs w:val="16"/>
                <w:lang w:val="pt-BR"/>
              </w:rPr>
              <w:t>. A Microsoft tem controles antimalware que ajudam a impedir que software mal-intencionado obtenha acesso não autorizado aos Dados de Suporte e Consultoria, inclusive software mal-intencionado originado de redes públicas.</w:t>
            </w:r>
          </w:p>
          <w:p w:rsidR="00335865" w:rsidRDefault="0014121B">
            <w:pPr>
              <w:pStyle w:val="ProductList-Body"/>
              <w:spacing w:before="40"/>
              <w:rPr>
                <w:b/>
                <w:sz w:val="16"/>
                <w:szCs w:val="16"/>
                <w:lang w:val="pt-BR"/>
              </w:rPr>
            </w:pPr>
            <w:r>
              <w:rPr>
                <w:rFonts w:ascii="Calibri" w:eastAsia="Calibri" w:hAnsi="Calibri" w:cs="Arial"/>
                <w:b/>
                <w:sz w:val="16"/>
                <w:szCs w:val="16"/>
                <w:lang w:val="pt-BR"/>
              </w:rPr>
              <w:t>Transferência de Dados para Além dos Limites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criptografa, ou permite que o Cliente criptografe, os Dados de Suporte ou Consultoria transmitidos por redes públicas.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restringe o acesso aos Dados de Suporte e Consultoria em mídias que deixam suas instalações.</w:t>
            </w:r>
          </w:p>
          <w:p w:rsidR="00335865" w:rsidRDefault="0014121B">
            <w:pPr>
              <w:pStyle w:val="ProductList-Body"/>
              <w:spacing w:before="40"/>
              <w:rPr>
                <w:b/>
                <w:sz w:val="16"/>
                <w:szCs w:val="16"/>
                <w:lang w:val="pt-BR"/>
              </w:rPr>
            </w:pPr>
            <w:r>
              <w:rPr>
                <w:rFonts w:ascii="Calibri" w:eastAsia="Calibri" w:hAnsi="Calibri" w:cs="Arial"/>
                <w:b/>
                <w:sz w:val="16"/>
                <w:szCs w:val="16"/>
                <w:lang w:val="pt-BR"/>
              </w:rPr>
              <w:t>Registro de Eventos</w:t>
            </w:r>
          </w:p>
          <w:p w:rsidR="00335865" w:rsidRDefault="0014121B">
            <w:pPr>
              <w:pStyle w:val="ProductList-Body"/>
              <w:spacing w:before="40"/>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registra o uso de nossos sistemas de processamento de dados.</w:t>
            </w:r>
          </w:p>
          <w:p w:rsidR="00335865" w:rsidRDefault="0014121B">
            <w:pPr>
              <w:pStyle w:val="ProductList-Body"/>
              <w:spacing w:before="40"/>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registra o acesso e o uso de sistemas de informações contendo os Dados de Suporte e Consultoria, registrando o ID de acesso, o horário, a autorização concedida ou negada e a atividade relevante.</w:t>
            </w:r>
          </w:p>
        </w:tc>
      </w:tr>
      <w:tr w:rsidR="00335865" w:rsidRPr="00AD60C5">
        <w:tc>
          <w:tcPr>
            <w:tcW w:w="2610" w:type="dxa"/>
            <w:tcBorders>
              <w:top w:val="single" w:sz="4" w:space="0" w:color="auto"/>
              <w:left w:val="single" w:sz="4" w:space="0" w:color="auto"/>
              <w:bottom w:val="single" w:sz="4" w:space="0" w:color="auto"/>
              <w:right w:val="single" w:sz="4" w:space="0" w:color="auto"/>
            </w:tcBorders>
            <w:vAlign w:val="center"/>
          </w:tcPr>
          <w:p w:rsidR="00335865" w:rsidRDefault="0014121B">
            <w:pPr>
              <w:pStyle w:val="ProductList-Body"/>
              <w:rPr>
                <w:sz w:val="16"/>
                <w:szCs w:val="16"/>
                <w:lang w:val="pt-BR"/>
              </w:rPr>
            </w:pPr>
            <w:r>
              <w:rPr>
                <w:rFonts w:ascii="Calibri" w:eastAsia="Calibri" w:hAnsi="Calibri" w:cs="Arial"/>
                <w:sz w:val="16"/>
                <w:szCs w:val="16"/>
                <w:lang w:val="pt-BR"/>
              </w:rPr>
              <w:t>Controle de Acesso</w:t>
            </w:r>
          </w:p>
        </w:tc>
        <w:tc>
          <w:tcPr>
            <w:tcW w:w="8190" w:type="dxa"/>
            <w:tcBorders>
              <w:top w:val="single" w:sz="4" w:space="0" w:color="auto"/>
              <w:left w:val="single" w:sz="4" w:space="0" w:color="auto"/>
              <w:bottom w:val="single" w:sz="4" w:space="0" w:color="auto"/>
              <w:right w:val="single" w:sz="4" w:space="0" w:color="auto"/>
            </w:tcBorders>
          </w:tcPr>
          <w:p w:rsidR="00335865" w:rsidRDefault="0014121B">
            <w:pPr>
              <w:pStyle w:val="ProductList-Body"/>
              <w:rPr>
                <w:sz w:val="16"/>
                <w:szCs w:val="16"/>
                <w:lang w:val="pt-BR"/>
              </w:rPr>
            </w:pPr>
            <w:r>
              <w:rPr>
                <w:rFonts w:ascii="Calibri" w:eastAsia="Calibri" w:hAnsi="Calibri" w:cs="Arial"/>
                <w:b/>
                <w:sz w:val="16"/>
                <w:szCs w:val="16"/>
                <w:lang w:val="pt-BR"/>
              </w:rPr>
              <w:t>Política de Acesso</w:t>
            </w:r>
            <w:r>
              <w:rPr>
                <w:rFonts w:ascii="Calibri" w:eastAsia="Calibri" w:hAnsi="Calibri" w:cs="Arial"/>
                <w:sz w:val="16"/>
                <w:szCs w:val="16"/>
                <w:lang w:val="pt-BR"/>
              </w:rPr>
              <w:t>. A Microsoft mantém um registro de privilégio de segurança de indivíduos que têm acesso aos Dados de Suporte e Consultoria.</w:t>
            </w:r>
          </w:p>
          <w:p w:rsidR="00335865" w:rsidRDefault="0014121B">
            <w:pPr>
              <w:pStyle w:val="ProductList-Body"/>
              <w:spacing w:before="40"/>
              <w:rPr>
                <w:b/>
                <w:sz w:val="16"/>
                <w:szCs w:val="16"/>
                <w:lang w:val="pt-BR"/>
              </w:rPr>
            </w:pPr>
            <w:r>
              <w:rPr>
                <w:rFonts w:ascii="Calibri" w:eastAsia="Calibri" w:hAnsi="Calibri" w:cs="Arial"/>
                <w:b/>
                <w:sz w:val="16"/>
                <w:szCs w:val="16"/>
                <w:lang w:val="pt-BR"/>
              </w:rPr>
              <w:t>Autorização de Acesso</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mantém e atualiza um registro do pessoal autorizado a acessar os sistemas da Microsoft que contêm Dados de Suporte e Consultoria.</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desativa as credenciais de autenticação que não foram usadas por um período de até seis meses.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 xml:space="preserve">A Microsoft identifica o pessoal que pode conceder, alterar ou cancelar acesso autorizado a dados e recursos. </w:t>
            </w:r>
          </w:p>
          <w:p w:rsidR="00335865" w:rsidRDefault="0014121B">
            <w:pPr>
              <w:pStyle w:val="ProductList-Body"/>
              <w:spacing w:before="40"/>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assegura que quando mais de um indivíduo tiver acesso aos sistemas que contêm os Dados de Suporte e Consultoria, os indivíduos terão log-ins/identificadores separados.</w:t>
            </w:r>
          </w:p>
          <w:p w:rsidR="00335865" w:rsidRDefault="0014121B">
            <w:pPr>
              <w:pStyle w:val="ProductList-Body"/>
              <w:spacing w:before="40"/>
              <w:rPr>
                <w:b/>
                <w:sz w:val="16"/>
                <w:szCs w:val="16"/>
                <w:lang w:val="pt-BR"/>
              </w:rPr>
            </w:pPr>
            <w:r>
              <w:rPr>
                <w:rFonts w:ascii="Calibri" w:eastAsia="Calibri" w:hAnsi="Calibri" w:cs="Arial"/>
                <w:b/>
                <w:sz w:val="16"/>
                <w:szCs w:val="16"/>
                <w:lang w:val="pt-BR"/>
              </w:rPr>
              <w:t>Privilégios Mínimos</w:t>
            </w:r>
          </w:p>
          <w:p w:rsidR="00335865" w:rsidRDefault="0014121B">
            <w:pPr>
              <w:pStyle w:val="ProductList-Body"/>
              <w:ind w:left="162" w:hanging="162"/>
              <w:rPr>
                <w:sz w:val="16"/>
                <w:szCs w:val="16"/>
                <w:lang w:val="pt-BR"/>
              </w:rPr>
            </w:pPr>
            <w:r>
              <w:rPr>
                <w:rFonts w:ascii="Calibri" w:eastAsia="Calibri" w:hAnsi="Calibri" w:cs="Arial"/>
                <w:sz w:val="16"/>
                <w:szCs w:val="16"/>
                <w:lang w:val="pt-BR"/>
              </w:rPr>
              <w:lastRenderedPageBreak/>
              <w:t>-</w:t>
            </w:r>
            <w:r>
              <w:rPr>
                <w:rFonts w:ascii="Calibri" w:eastAsia="Calibri" w:hAnsi="Calibri" w:cs="Arial"/>
                <w:sz w:val="16"/>
                <w:szCs w:val="16"/>
                <w:lang w:val="pt-BR"/>
              </w:rPr>
              <w:tab/>
              <w:t xml:space="preserve">O pessoal de suporte técnico é autorizado a acessar os Dados de Suporte e Consultoria somente quando necessário. </w:t>
            </w:r>
          </w:p>
          <w:p w:rsidR="00335865" w:rsidRDefault="0014121B">
            <w:pPr>
              <w:pStyle w:val="ProductList-Body"/>
              <w:spacing w:before="40"/>
              <w:rPr>
                <w:b/>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restringe o acesso aos Dados de Suporte e Consultoria somente aos indivíduos que precisam deste acesso para executar suas funções.</w:t>
            </w:r>
          </w:p>
          <w:p w:rsidR="00335865" w:rsidRDefault="0014121B">
            <w:pPr>
              <w:pStyle w:val="ProductList-Body"/>
              <w:spacing w:before="40"/>
              <w:rPr>
                <w:b/>
                <w:sz w:val="16"/>
                <w:szCs w:val="16"/>
                <w:lang w:val="pt-BR"/>
              </w:rPr>
            </w:pPr>
            <w:r>
              <w:rPr>
                <w:rFonts w:ascii="Calibri" w:eastAsia="Calibri" w:hAnsi="Calibri" w:cs="Arial"/>
                <w:b/>
                <w:sz w:val="16"/>
                <w:szCs w:val="16"/>
                <w:lang w:val="pt-BR"/>
              </w:rPr>
              <w:t>Integridade e Confidencialidade</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instrui seu pessoal a desativar sessões administrativas ao deixarem as instalações controladas pela Microsoft ou quando os computadores estiverem de outra forma sem supervisão.</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armazena senhas de uma forma que as torna ininteligíveis enquanto elas estiverem em vigor.</w:t>
            </w:r>
          </w:p>
          <w:p w:rsidR="00335865" w:rsidRDefault="0014121B">
            <w:pPr>
              <w:pStyle w:val="ProductList-Body"/>
              <w:spacing w:before="40"/>
              <w:rPr>
                <w:b/>
                <w:sz w:val="16"/>
                <w:szCs w:val="16"/>
                <w:lang w:val="pt-BR"/>
              </w:rPr>
            </w:pPr>
            <w:r>
              <w:rPr>
                <w:rFonts w:ascii="Calibri" w:eastAsia="Calibri" w:hAnsi="Calibri" w:cs="Arial"/>
                <w:b/>
                <w:sz w:val="16"/>
                <w:szCs w:val="16"/>
                <w:lang w:val="pt-BR"/>
              </w:rPr>
              <w:t>Autenticação</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usa práticas padrão do setor para identificar e autenticar usuários que tentam acessar sistemas de informação.</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Quando os mecanismos de autenticação são baseados em senha, a Microsoft exige que as senhas sejam renovadas regularmente.</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Quando os mecanismos de autenticação são baseados em senha, a Microsoft exige que a senha tenha, pelo menos, oito caracteres.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assegura que identificadores desativados ou expirados não sejam concedidos a outros indivíduos.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monitora tentativas repetidas de obtenção de acesso ao sistema de informação com senhas inválidas.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mantém procedimentos padrão do setor para desativar senhas que tenham sido corrompidas ou divulgadas acidentalmente.</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usa práticas de proteção de senhas padrão do setor, inclusive práticas destinadas a manter a confidencialidade e a integridade de senhas quando estas são cedidas e distribuídas, e durante o armazenamento.</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r>
            <w:r>
              <w:rPr>
                <w:rFonts w:ascii="Calibri" w:eastAsia="Calibri" w:hAnsi="Calibri" w:cs="Arial"/>
                <w:b/>
                <w:sz w:val="16"/>
                <w:szCs w:val="16"/>
                <w:lang w:val="pt-BR"/>
              </w:rPr>
              <w:t>Projeto de Rede</w:t>
            </w:r>
            <w:r>
              <w:rPr>
                <w:rFonts w:ascii="Calibri" w:eastAsia="Calibri" w:hAnsi="Calibri" w:cs="Arial"/>
                <w:sz w:val="16"/>
                <w:szCs w:val="16"/>
                <w:lang w:val="pt-BR"/>
              </w:rPr>
              <w:t>. A Microsoft tem controles para impedir que indivíduos assumam direitos de acesso não cedidos a eles para obter acesso aos Dados de Suporte e Consultoria que eles não estejam autorizados a acessar.</w:t>
            </w:r>
          </w:p>
        </w:tc>
      </w:tr>
      <w:tr w:rsidR="00335865" w:rsidRPr="00AD60C5">
        <w:tc>
          <w:tcPr>
            <w:tcW w:w="2610" w:type="dxa"/>
            <w:tcBorders>
              <w:top w:val="single" w:sz="4" w:space="0" w:color="auto"/>
            </w:tcBorders>
            <w:vAlign w:val="center"/>
          </w:tcPr>
          <w:p w:rsidR="00335865" w:rsidRDefault="0014121B">
            <w:pPr>
              <w:pStyle w:val="ProductList-Body"/>
              <w:rPr>
                <w:sz w:val="16"/>
                <w:szCs w:val="16"/>
                <w:lang w:val="pt-BR"/>
              </w:rPr>
            </w:pPr>
            <w:r>
              <w:rPr>
                <w:rFonts w:ascii="Calibri" w:eastAsia="Calibri" w:hAnsi="Calibri" w:cs="Arial"/>
                <w:sz w:val="16"/>
                <w:szCs w:val="16"/>
                <w:lang w:val="pt-BR"/>
              </w:rPr>
              <w:lastRenderedPageBreak/>
              <w:t>Gerenciamento de Incidentes de Segurança de Informação</w:t>
            </w:r>
          </w:p>
        </w:tc>
        <w:tc>
          <w:tcPr>
            <w:tcW w:w="8190" w:type="dxa"/>
            <w:tcBorders>
              <w:top w:val="single" w:sz="4" w:space="0" w:color="auto"/>
            </w:tcBorders>
          </w:tcPr>
          <w:p w:rsidR="00335865" w:rsidRDefault="0014121B">
            <w:pPr>
              <w:pStyle w:val="ProductList-Body"/>
              <w:rPr>
                <w:b/>
                <w:sz w:val="16"/>
                <w:szCs w:val="16"/>
                <w:lang w:val="pt-BR"/>
              </w:rPr>
            </w:pPr>
            <w:r>
              <w:rPr>
                <w:rFonts w:ascii="Calibri" w:eastAsia="Calibri" w:hAnsi="Calibri" w:cs="Arial"/>
                <w:b/>
                <w:sz w:val="16"/>
                <w:szCs w:val="16"/>
                <w:lang w:val="pt-BR"/>
              </w:rPr>
              <w:t>Processo de Resposta a Incidentes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mantém um registro de violações de segurança com uma descrição da violação, o período, as consequências, o nome do autor da denúncia e a quem a violação foi denunciada, assim como o procedimento de recuperação de dados.</w:t>
            </w:r>
          </w:p>
          <w:p w:rsidR="00335865" w:rsidRDefault="0014121B">
            <w:pPr>
              <w:pStyle w:val="ProductList-Body"/>
              <w:spacing w:before="40"/>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controla as divulgações de Dados de Suporte e Consultoria, inclusive quais dados foram divulgados, para quem e em que horário.</w:t>
            </w:r>
          </w:p>
          <w:p w:rsidR="00335865" w:rsidRDefault="0014121B">
            <w:pPr>
              <w:pStyle w:val="ProductList-Body"/>
              <w:spacing w:before="40"/>
              <w:rPr>
                <w:sz w:val="16"/>
                <w:szCs w:val="16"/>
                <w:lang w:val="pt-BR"/>
              </w:rPr>
            </w:pPr>
            <w:r>
              <w:rPr>
                <w:rFonts w:ascii="Calibri" w:eastAsia="Calibri" w:hAnsi="Calibri" w:cs="Arial"/>
                <w:b/>
                <w:sz w:val="16"/>
                <w:szCs w:val="16"/>
                <w:lang w:val="pt-BR"/>
              </w:rPr>
              <w:t>Monitoramento dos Serviços</w:t>
            </w:r>
            <w:r>
              <w:rPr>
                <w:rFonts w:ascii="Calibri" w:eastAsia="Calibri" w:hAnsi="Calibri" w:cs="Arial"/>
                <w:sz w:val="16"/>
                <w:szCs w:val="16"/>
                <w:lang w:val="pt-BR"/>
              </w:rPr>
              <w:t>. O pessoal de segurança da Microsoft verifica os logs, pelo menos, semestralmente, a fim de propor esforços de reparação, se necessário.</w:t>
            </w:r>
          </w:p>
        </w:tc>
      </w:tr>
      <w:tr w:rsidR="00335865" w:rsidRPr="00AD60C5">
        <w:tc>
          <w:tcPr>
            <w:tcW w:w="2610" w:type="dxa"/>
            <w:vAlign w:val="center"/>
          </w:tcPr>
          <w:p w:rsidR="00335865" w:rsidRDefault="0014121B">
            <w:pPr>
              <w:pStyle w:val="ProductList-Body"/>
              <w:rPr>
                <w:sz w:val="16"/>
                <w:szCs w:val="16"/>
                <w:lang w:val="pt-BR"/>
              </w:rPr>
            </w:pPr>
            <w:r>
              <w:rPr>
                <w:rFonts w:ascii="Calibri" w:eastAsia="Calibri" w:hAnsi="Calibri" w:cs="Arial"/>
                <w:sz w:val="16"/>
                <w:szCs w:val="16"/>
                <w:lang w:val="pt-BR"/>
              </w:rPr>
              <w:t>Gerenciamento da Continuidade dos Negócios</w:t>
            </w:r>
          </w:p>
        </w:tc>
        <w:tc>
          <w:tcPr>
            <w:tcW w:w="8190" w:type="dxa"/>
          </w:tcPr>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A Microsoft mantém planos de emergência e de contingência para as instalações onde os sistemas de informação da Microsoft que processam os Dados de Suporte e Consultoria estão localizados.</w:t>
            </w:r>
          </w:p>
          <w:p w:rsidR="00335865" w:rsidRDefault="0014121B">
            <w:pPr>
              <w:pStyle w:val="ProductList-Body"/>
              <w:ind w:left="162" w:hanging="162"/>
              <w:rPr>
                <w:sz w:val="16"/>
                <w:szCs w:val="16"/>
                <w:lang w:val="pt-BR"/>
              </w:rPr>
            </w:pPr>
            <w:r>
              <w:rPr>
                <w:rFonts w:ascii="Calibri" w:eastAsia="Calibri" w:hAnsi="Calibri" w:cs="Arial"/>
                <w:sz w:val="16"/>
                <w:szCs w:val="16"/>
                <w:lang w:val="pt-BR"/>
              </w:rPr>
              <w:t>-</w:t>
            </w:r>
            <w:r>
              <w:rPr>
                <w:rFonts w:ascii="Calibri" w:eastAsia="Calibri" w:hAnsi="Calibri" w:cs="Arial"/>
                <w:sz w:val="16"/>
                <w:szCs w:val="16"/>
                <w:lang w:val="pt-BR"/>
              </w:rPr>
              <w:tab/>
              <w:t>O armazenamento redundante da Microsoft e seus procedimentos para recuperação de dados destinam-se a tentar reconstruir os Dados de Suporte e Consultoria ao estado em que se encontravam antes da perda ou da destruição.</w:t>
            </w:r>
          </w:p>
        </w:tc>
      </w:tr>
    </w:tbl>
    <w:p w:rsidR="00335865" w:rsidRDefault="00335865">
      <w:pPr>
        <w:pStyle w:val="ProductList-Body"/>
        <w:rPr>
          <w:lang w:val="pt-BR"/>
        </w:rPr>
      </w:pPr>
    </w:p>
    <w:p w:rsidR="00335865" w:rsidRDefault="0014121B">
      <w:pPr>
        <w:pStyle w:val="ProductList-SubSubSectionHeading"/>
        <w:spacing w:after="120"/>
        <w:outlineLvl w:val="2"/>
        <w:rPr>
          <w:lang w:val="pt-BR"/>
        </w:rPr>
      </w:pPr>
      <w:r>
        <w:rPr>
          <w:rFonts w:ascii="Calibri" w:eastAsia="Calibri" w:hAnsi="Calibri" w:cs="Arial"/>
          <w:szCs w:val="18"/>
          <w:lang w:val="pt-BR"/>
        </w:rPr>
        <w:t>Responsabilidades do Cliente</w:t>
      </w:r>
    </w:p>
    <w:p w:rsidR="00335865" w:rsidRDefault="0014121B">
      <w:pPr>
        <w:pStyle w:val="ProductList-SubSubSectionHeading"/>
        <w:spacing w:after="120"/>
        <w:outlineLvl w:val="2"/>
        <w:rPr>
          <w:b w:val="0"/>
          <w:color w:val="auto"/>
          <w:lang w:val="pt-BR"/>
        </w:rPr>
      </w:pPr>
      <w:r>
        <w:rPr>
          <w:rFonts w:ascii="Calibri" w:eastAsia="Calibri" w:hAnsi="Calibri" w:cs="Arial"/>
          <w:b w:val="0"/>
          <w:color w:val="auto"/>
          <w:szCs w:val="18"/>
          <w:lang w:val="pt-BR"/>
        </w:rPr>
        <w:t>O Cliente é o único responsável por determinar, de forma independente, se as medidas técnicas e organizacionais de Serviços Profissionais atendem aos requisitos do Cliente, inclusive quaisquer de suas obrigações de segurança nos termos do RGPD ou de outras leis e regulamentos de proteção de dados aplicáveis. O Cliente reconhece e concorda que (levando em conta a tecnologia, os custos de implementação e a natureza, escopo, contexto e finalidades do processamento de seus Dados Pessoais, assim como os riscos para indivíduos) as práticas e políticas de segurança implementadas e mantidos pela Microsoft fornecem um nível de segurança adequado ao risco em relação aos seus Dados Pessoais. O Cliente é responsável pela implementação e manutenção das medidas de segurança e proteção de privacidade para componentes que Cliente fornece ou controla.</w:t>
      </w:r>
    </w:p>
    <w:p w:rsidR="00335865" w:rsidRDefault="0014121B">
      <w:pPr>
        <w:pStyle w:val="ProductList-SubSubSectionHeading"/>
        <w:spacing w:after="120"/>
        <w:outlineLvl w:val="2"/>
        <w:rPr>
          <w:lang w:val="pt-BR"/>
        </w:rPr>
      </w:pPr>
      <w:r>
        <w:rPr>
          <w:rFonts w:ascii="Calibri" w:eastAsia="Calibri" w:hAnsi="Calibri" w:cs="Arial"/>
          <w:szCs w:val="18"/>
          <w:lang w:val="pt-BR"/>
        </w:rPr>
        <w:t xml:space="preserve">Auditorias de Conformidade </w:t>
      </w:r>
    </w:p>
    <w:p w:rsidR="00335865" w:rsidRDefault="0014121B">
      <w:pPr>
        <w:pStyle w:val="ProductList-Body"/>
        <w:rPr>
          <w:lang w:val="pt-BR"/>
        </w:rPr>
      </w:pPr>
      <w:r>
        <w:rPr>
          <w:rFonts w:ascii="Calibri" w:eastAsia="Calibri" w:hAnsi="Calibri" w:cs="Arial"/>
          <w:szCs w:val="18"/>
          <w:lang w:val="pt-BR"/>
        </w:rPr>
        <w:t>A Microsoft realizará auditorias da segurança dos computadores, do ambiente computacional e dos data centers físicos usados no processamento de Dados de Suporte e Consultoria e Dados Pessoais, da seguinte forma:</w:t>
      </w:r>
    </w:p>
    <w:p w:rsidR="00335865" w:rsidRDefault="0014121B">
      <w:pPr>
        <w:pStyle w:val="ProductList-Body"/>
        <w:numPr>
          <w:ilvl w:val="0"/>
          <w:numId w:val="3"/>
        </w:numPr>
        <w:ind w:left="0" w:firstLine="360"/>
        <w:rPr>
          <w:lang w:val="pt-BR"/>
        </w:rPr>
      </w:pPr>
      <w:r>
        <w:rPr>
          <w:rFonts w:ascii="Calibri" w:eastAsia="Calibri" w:hAnsi="Calibri" w:cs="Arial"/>
          <w:szCs w:val="18"/>
          <w:lang w:val="pt-BR"/>
        </w:rPr>
        <w:t>Se for fornecido um padrão ou uma estrutura para auditorias, uma auditoria de tal padrão de controle ou estrutura será iniciado pelo menos anualmente.</w:t>
      </w:r>
    </w:p>
    <w:p w:rsidR="00335865" w:rsidRDefault="0014121B">
      <w:pPr>
        <w:pStyle w:val="ProductList-Body"/>
        <w:numPr>
          <w:ilvl w:val="0"/>
          <w:numId w:val="3"/>
        </w:numPr>
        <w:suppressAutoHyphens/>
        <w:overflowPunct w:val="0"/>
        <w:autoSpaceDE w:val="0"/>
        <w:autoSpaceDN w:val="0"/>
        <w:adjustRightInd w:val="0"/>
        <w:ind w:left="0" w:firstLine="360"/>
        <w:textAlignment w:val="baseline"/>
        <w:outlineLvl w:val="0"/>
        <w:rPr>
          <w:lang w:val="pt-BR"/>
        </w:rPr>
      </w:pPr>
      <w:r>
        <w:rPr>
          <w:rFonts w:ascii="Calibri" w:eastAsia="Calibri" w:hAnsi="Calibri" w:cs="Arial"/>
          <w:szCs w:val="18"/>
          <w:lang w:val="pt-BR"/>
        </w:rPr>
        <w:t>Cada auditoria será executada de acordo com os padrões e as regras da agência regulatória ou da agência de credenciamento para cada estrutura ou padrão de controle aplicável.</w:t>
      </w:r>
    </w:p>
    <w:p w:rsidR="00335865" w:rsidRDefault="0014121B">
      <w:pPr>
        <w:pStyle w:val="ProductList-Body"/>
        <w:numPr>
          <w:ilvl w:val="0"/>
          <w:numId w:val="3"/>
        </w:numPr>
        <w:suppressAutoHyphens/>
        <w:overflowPunct w:val="0"/>
        <w:autoSpaceDE w:val="0"/>
        <w:autoSpaceDN w:val="0"/>
        <w:adjustRightInd w:val="0"/>
        <w:ind w:left="0" w:firstLine="360"/>
        <w:textAlignment w:val="baseline"/>
        <w:outlineLvl w:val="0"/>
        <w:rPr>
          <w:lang w:val="pt-BR"/>
        </w:rPr>
      </w:pPr>
      <w:r>
        <w:rPr>
          <w:rFonts w:ascii="Calibri" w:eastAsia="Calibri" w:hAnsi="Calibri" w:cs="Arial"/>
          <w:szCs w:val="18"/>
          <w:lang w:val="pt-BR"/>
        </w:rPr>
        <w:t>Cada auditoria será executada por auditores de segurança qualificados, independentes e terceiros que serão selecionados pela Microsoft, que também arcará com as custas.</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Cada auditoria resultará na geração de um relatório de auditoria (“Relatório de Auditoria da Microsoft”), que será disponibilizado ao Cliente pela Microsoft, mediante solicitação. O Relatório de Auditoria da Microsoft será Informações Confidenciais da Microsoft e divulgará claramente todas as descobertas substanciais realizadas pelo auditor. A Microsoft solucionará imediatamente os problemas levantados em todo Relatório de Auditoria da Microsoft para a satisfação do auditor.</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O Relatório de Auditoria da Microsoft estará sujeito a limitações de não divulgação e distribuição da Microsoft e do auditor.</w:t>
      </w:r>
    </w:p>
    <w:p w:rsidR="00335865" w:rsidRDefault="0014121B">
      <w:pPr>
        <w:pStyle w:val="ProductList-Body"/>
        <w:rPr>
          <w:lang w:val="pt-BR"/>
        </w:rPr>
      </w:pPr>
      <w:r>
        <w:rPr>
          <w:rFonts w:ascii="Calibri" w:eastAsia="Calibri" w:hAnsi="Calibri" w:cs="Arial"/>
          <w:szCs w:val="18"/>
          <w:lang w:val="pt-BR"/>
        </w:rPr>
        <w:t>Se o Cliente tiver celebrado as Cláusulas Contratuais Padrão com a Microsoft, ou se os termos do GDPR se aplicarem, o Cliente concordará em exercer seu direito à auditoria instruindo a Microsoft a realizá-la conforme descrito nesta seção do Adendo. Se o Cliente quiser alterar esta instrução, o Cliente terá o direito de fazê-lo conforme estabelecido nas Cláusulas Contratuais Padrão e nos Termos do RGPD, cuja alteração deverá ser solicitada por escrito.</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Se as Cláusulas Contratuais Padrão se aplicarem, esta seção será acrescentada ao parágrafo f da Cláusula 5 e ao parágrafo 2 da Cláusula 12 das Cláusulas Contratuais Padrão. Nada nesta seção varia ou modifica as Cláusulas contratuais padrão ou os Termos do RGPD nem afeta os direitos de qualquer autoridade supervisora ou do titular dos dados nos termos das Cláusulas Contratuais Padrão ou RGPD. A Microsoft Corporation é um beneficiário de terceiro pretendido desta seção.</w:t>
      </w:r>
    </w:p>
    <w:p w:rsidR="00335865" w:rsidRDefault="00335865">
      <w:pPr>
        <w:pStyle w:val="ProductList-SectionHeading"/>
        <w:tabs>
          <w:tab w:val="center" w:pos="5400"/>
        </w:tabs>
        <w:outlineLvl w:val="0"/>
        <w:rPr>
          <w:sz w:val="18"/>
          <w:lang w:val="pt-BR"/>
        </w:rPr>
      </w:pPr>
    </w:p>
    <w:p w:rsidR="00335865" w:rsidRDefault="0014121B">
      <w:pPr>
        <w:pStyle w:val="ProductList-SectionHeading"/>
        <w:tabs>
          <w:tab w:val="center" w:pos="5400"/>
        </w:tabs>
        <w:outlineLvl w:val="0"/>
        <w:rPr>
          <w:lang w:val="pt-BR"/>
        </w:rPr>
      </w:pPr>
      <w:r>
        <w:rPr>
          <w:rFonts w:ascii="Calibri Light" w:eastAsia="Calibri Light" w:hAnsi="Calibri Light" w:cs="Arial"/>
          <w:szCs w:val="40"/>
          <w:lang w:val="pt-BR"/>
        </w:rPr>
        <w:t>Notificação de Incidentes de Segurança</w:t>
      </w:r>
    </w:p>
    <w:p w:rsidR="00335865" w:rsidRDefault="0014121B">
      <w:pPr>
        <w:pStyle w:val="ProductList-Body"/>
        <w:rPr>
          <w:lang w:val="pt-BR"/>
        </w:rPr>
      </w:pPr>
      <w:r>
        <w:rPr>
          <w:rFonts w:ascii="Calibri" w:eastAsia="Calibri" w:hAnsi="Calibri" w:cs="Arial"/>
          <w:szCs w:val="18"/>
          <w:lang w:val="pt-BR"/>
        </w:rPr>
        <w:t>Se a Microsoft tomar conhecimento de uma violação de segurança que leve à destruição acidental ou ilícita, perda, alteração, divulgação não autorizada ou acesso a Dados de Suporte e Consultoria ou Dados Pessoais enquanto estiverem sendo processados pela Microsoft (“Incidente de Segurança”), a Microsoft, de maneira imediata e sem atraso indevido (1) notificará o Cliente sobre o Incidente de Segurança; (2) investigará o Incidente de Segurança e fornecerá ao Cliente informações detalhadas sobre o Incidente de Segurança; e (3) tomará ações razoáveis para mitigar os efeitos e minimizar qualquer dano resultante do Incidente de Segurança.</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A Notificação de Incidentes de Segurança, se houver, será entregue a um ou mais dos contatos comerciais para Serviços Profissionais do Cliente por qualquer forma que a Microsoft selecionar, inclusive por email.</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 xml:space="preserve">O Cliente é o único responsável pelo cumprimento de suas obrigações sob as leis de notificação de incidentes aplicáveis ao Cliente e pelo cumprimento de quaisquer obrigações de notificação de terceiros relacionadas a qualquer Incidente de Segurança. </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A Microsoft envidará todos os esforços razoáveis para auxiliar o Cliente a cumprir as obrigações do Cliente nos termos do Artigo 33 do RGPD ou outra lei ou regulamento aplicável, de notificar a autoridade supervisora e os titulares dos dados sobre esse Incidente de Segurança.</w:t>
      </w:r>
    </w:p>
    <w:p w:rsidR="00335865" w:rsidRDefault="0014121B">
      <w:pPr>
        <w:pStyle w:val="ProductList-Body"/>
        <w:rPr>
          <w:lang w:val="pt-BR"/>
        </w:rPr>
      </w:pPr>
      <w:r>
        <w:rPr>
          <w:rFonts w:ascii="Calibri" w:eastAsia="Calibri" w:hAnsi="Calibri" w:cs="Arial"/>
          <w:szCs w:val="18"/>
          <w:lang w:val="pt-BR"/>
        </w:rPr>
        <w:t>A obrigação que a Microsoft tem de informar ou responder a um Incidente de Segurança nesta Seção não é e não será interpretada como um reconhecimento de qualquer falha ou responsabilidade da Microsoft a respeito do Incidente de Segurança</w:t>
      </w:r>
    </w:p>
    <w:p w:rsidR="00335865" w:rsidRDefault="0014121B">
      <w:pPr>
        <w:pStyle w:val="ProductList-Body"/>
        <w:rPr>
          <w:lang w:val="pt-BR"/>
        </w:rPr>
      </w:pPr>
      <w:r>
        <w:rPr>
          <w:lang w:val="pt-BR"/>
        </w:rPr>
        <w:t xml:space="preserve"> </w:t>
      </w:r>
    </w:p>
    <w:p w:rsidR="00335865" w:rsidRDefault="0014121B">
      <w:pPr>
        <w:pStyle w:val="ProductList-Body"/>
        <w:rPr>
          <w:lang w:val="pt-BR"/>
        </w:rPr>
      </w:pPr>
      <w:bookmarkStart w:id="22" w:name="OnlineServiceSpecificTerms"/>
      <w:r>
        <w:rPr>
          <w:lang w:val="pt-BR"/>
        </w:rPr>
        <w:br w:type="page"/>
      </w:r>
    </w:p>
    <w:p w:rsidR="00335865" w:rsidRDefault="0014121B">
      <w:pPr>
        <w:pStyle w:val="ProductList-SectionHeading"/>
        <w:outlineLvl w:val="0"/>
        <w:rPr>
          <w:lang w:val="pt-BR"/>
        </w:rPr>
      </w:pPr>
      <w:bookmarkStart w:id="23" w:name="Attachment3"/>
      <w:bookmarkStart w:id="24" w:name="_Toc489605628"/>
      <w:bookmarkEnd w:id="22"/>
      <w:r>
        <w:rPr>
          <w:rFonts w:ascii="Calibri Light" w:eastAsia="Calibri Light" w:hAnsi="Calibri Light" w:cs="Arial"/>
          <w:szCs w:val="40"/>
          <w:lang w:val="pt-BR"/>
        </w:rPr>
        <w:lastRenderedPageBreak/>
        <w:t>Anexo 1</w:t>
      </w:r>
      <w:bookmarkEnd w:id="23"/>
      <w:bookmarkEnd w:id="24"/>
      <w:r>
        <w:rPr>
          <w:rFonts w:ascii="Calibri Light" w:eastAsia="Calibri Light" w:hAnsi="Calibri Light" w:cs="Arial"/>
          <w:szCs w:val="40"/>
          <w:lang w:val="pt-BR"/>
        </w:rPr>
        <w:t xml:space="preserve"> – As Cláusulas Contratuais Padrão (Processadores) para os Serviços de Suporte e Consultoria</w:t>
      </w:r>
    </w:p>
    <w:p w:rsidR="00335865" w:rsidRDefault="0014121B">
      <w:pPr>
        <w:pStyle w:val="ProductList-Body"/>
        <w:rPr>
          <w:lang w:val="pt-BR"/>
        </w:rPr>
      </w:pPr>
      <w:r>
        <w:rPr>
          <w:rFonts w:ascii="Calibri" w:eastAsia="Calibri" w:hAnsi="Calibri" w:cs="Arial"/>
          <w:szCs w:val="18"/>
          <w:lang w:val="pt-BR"/>
        </w:rPr>
        <w:t>A assinatura de uma declaração de serviços pelo Cliente inclui a assinatura deste Anexo 1, que também será assinada pela Microsoft Corporation. Para recusar as “Cláusulas Contratuais Padrão”, o Cliente precisa enviar as seguintes informações à Microsoft em uma notificação por escrito (de acordo com os termos do contrato do Cliente):</w:t>
      </w:r>
    </w:p>
    <w:p w:rsidR="00335865" w:rsidRDefault="0014121B">
      <w:pPr>
        <w:pStyle w:val="ProductList-Body"/>
        <w:rPr>
          <w:lang w:val="pt-BR"/>
        </w:rPr>
      </w:pPr>
      <w:r>
        <w:rPr>
          <w:rFonts w:ascii="Calibri" w:eastAsia="Calibri" w:hAnsi="Calibri" w:cs="Arial"/>
          <w:szCs w:val="18"/>
          <w:lang w:val="pt-BR"/>
        </w:rPr>
        <w:t>•</w:t>
      </w:r>
      <w:r>
        <w:rPr>
          <w:rFonts w:ascii="Calibri" w:eastAsia="Calibri" w:hAnsi="Calibri" w:cs="Arial"/>
          <w:szCs w:val="18"/>
          <w:lang w:val="pt-BR"/>
        </w:rPr>
        <w:tab/>
        <w:t>a razão social completa do Cliente e de qualquer Afiliada que estiver recusando as cláusulas;</w:t>
      </w:r>
    </w:p>
    <w:p w:rsidR="00335865" w:rsidRDefault="0014121B">
      <w:pPr>
        <w:pStyle w:val="ProductList-Body"/>
        <w:rPr>
          <w:lang w:val="pt-BR"/>
        </w:rPr>
      </w:pPr>
      <w:r>
        <w:rPr>
          <w:rFonts w:ascii="Calibri" w:eastAsia="Calibri" w:hAnsi="Calibri" w:cs="Arial"/>
          <w:szCs w:val="18"/>
          <w:lang w:val="pt-BR"/>
        </w:rPr>
        <w:t>•</w:t>
      </w:r>
      <w:r>
        <w:rPr>
          <w:rFonts w:ascii="Calibri" w:eastAsia="Calibri" w:hAnsi="Calibri" w:cs="Arial"/>
          <w:szCs w:val="18"/>
          <w:lang w:val="pt-BR"/>
        </w:rPr>
        <w:tab/>
        <w:t>se o Cliente tiver múltiplos Contratos, o Contrato ao qual a recusa das cláusulas se aplica; e</w:t>
      </w:r>
    </w:p>
    <w:p w:rsidR="00335865" w:rsidRDefault="0014121B">
      <w:pPr>
        <w:pStyle w:val="ProductList-Body"/>
        <w:rPr>
          <w:lang w:val="pt-BR"/>
        </w:rPr>
      </w:pPr>
      <w:r>
        <w:rPr>
          <w:rFonts w:ascii="Calibri" w:eastAsia="Calibri" w:hAnsi="Calibri" w:cs="Arial"/>
          <w:szCs w:val="18"/>
          <w:lang w:val="pt-BR"/>
        </w:rPr>
        <w:t>•</w:t>
      </w:r>
      <w:r>
        <w:rPr>
          <w:rFonts w:ascii="Calibri" w:eastAsia="Calibri" w:hAnsi="Calibri" w:cs="Arial"/>
          <w:szCs w:val="18"/>
          <w:lang w:val="pt-BR"/>
        </w:rPr>
        <w:tab/>
        <w:t>uma declaração de que o Cliente (ou Afiliada) recusa as Cláusulas Contratuais Padrão.</w:t>
      </w:r>
    </w:p>
    <w:p w:rsidR="00335865" w:rsidRDefault="0014121B">
      <w:pPr>
        <w:pStyle w:val="ProductList-Body"/>
        <w:rPr>
          <w:lang w:val="pt-BR"/>
        </w:rPr>
      </w:pPr>
      <w:r>
        <w:rPr>
          <w:rFonts w:ascii="Calibri" w:eastAsia="Calibri" w:hAnsi="Calibri" w:cs="Arial"/>
          <w:szCs w:val="18"/>
          <w:lang w:val="pt-BR"/>
        </w:rP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rsidR="00335865" w:rsidRDefault="0014121B">
      <w:pPr>
        <w:pStyle w:val="ProductList-Body"/>
        <w:rPr>
          <w:lang w:val="pt-BR"/>
        </w:rPr>
      </w:pPr>
      <w:r>
        <w:rPr>
          <w:rFonts w:ascii="Calibri" w:eastAsia="Calibri" w:hAnsi="Calibri" w:cs="Arial"/>
          <w:szCs w:val="18"/>
          <w:lang w:val="pt-BR"/>
        </w:rPr>
        <w:t>A partir de 25 de maio de 2018 e posteriormente, referências a vários Artigos da Diretriz 95/46/EC nas Cláusulas Contratuais Padrão abaixo serão tratadas como referências aos Artigos pertinentes e apropriados no RGPD.</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1: Definições</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rsidR="00335865" w:rsidRDefault="0014121B">
      <w:pPr>
        <w:pStyle w:val="ProductList-Body"/>
        <w:spacing w:after="120"/>
        <w:rPr>
          <w:lang w:val="pt-BR"/>
        </w:rPr>
      </w:pPr>
      <w:r>
        <w:rPr>
          <w:rFonts w:ascii="Calibri" w:eastAsia="Calibri" w:hAnsi="Calibri" w:cs="Arial"/>
          <w:szCs w:val="18"/>
          <w:lang w:val="pt-BR"/>
        </w:rPr>
        <w:t xml:space="preserve">(b) ‘exportador de dados’ significa o controlador que transfere os dados pessoais; </w:t>
      </w:r>
    </w:p>
    <w:p w:rsidR="00335865" w:rsidRDefault="0014121B">
      <w:pPr>
        <w:pStyle w:val="ProductList-Body"/>
        <w:spacing w:after="120"/>
        <w:rPr>
          <w:lang w:val="pt-BR"/>
        </w:rPr>
      </w:pPr>
      <w:r>
        <w:rPr>
          <w:rFonts w:ascii="Calibri" w:eastAsia="Calibri" w:hAnsi="Calibri" w:cs="Arial"/>
          <w:szCs w:val="18"/>
          <w:lang w:val="pt-BR"/>
        </w:rP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Diretiva95/46/EC;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(d)</w:t>
      </w:r>
      <w:r>
        <w:rPr>
          <w:rFonts w:ascii="Calibri" w:eastAsia="Calibri" w:hAnsi="Calibri" w:cs="Arial"/>
          <w:szCs w:val="18"/>
          <w:lang w:val="pt-BR"/>
        </w:rPr>
        <w:tab/>
        <w:t xml:space="preserve">‘subprocessador’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(e)</w:t>
      </w:r>
      <w:r>
        <w:rPr>
          <w:rFonts w:ascii="Calibri" w:eastAsia="Calibri" w:hAnsi="Calibri" w:cs="Arial"/>
          <w:szCs w:val="18"/>
          <w:lang w:val="pt-BR"/>
        </w:rPr>
        <w:tab/>
        <w:t xml:space="preserve">‘lei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rsidR="00335865" w:rsidRDefault="0014121B">
      <w:pPr>
        <w:pStyle w:val="ProductList-Body"/>
        <w:tabs>
          <w:tab w:val="clear" w:pos="158"/>
          <w:tab w:val="left" w:pos="270"/>
        </w:tabs>
        <w:rPr>
          <w:lang w:val="pt-BR"/>
        </w:rPr>
      </w:pPr>
      <w:r>
        <w:rPr>
          <w:rFonts w:ascii="Calibri" w:eastAsia="Calibri" w:hAnsi="Calibri" w:cs="Arial"/>
          <w:szCs w:val="18"/>
          <w:lang w:val="pt-BR"/>
        </w:rPr>
        <w:t>(f)</w:t>
      </w:r>
      <w:r>
        <w:rPr>
          <w:rFonts w:ascii="Calibri" w:eastAsia="Calibri" w:hAnsi="Calibri" w:cs="Arial"/>
          <w:szCs w:val="18"/>
          <w:lang w:val="pt-BR"/>
        </w:rPr>
        <w:tab/>
        <w:t xml:space="preserve">‘medidas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2: Detalhes da transferência</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Os detalhes da transferência e em particular as categorias especiais de dados pessoais, onde aplicável, são especificadas no Apêndice 1 abaixo que constituem uma parte integral das Cláusulas.</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3: Cláusula de terceiro beneficiário</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O titular dos dados pode impor esta Cláusula, a Cláusula 4(b) até (i), Cláusula 5(a) até (e) e (g) até (j), Cláusula 6(1) e (2), Cláusula 7, Cláusula 8(2) e as Cláusulas 9 a 12 ao exportador de dados como terceiro beneficiário. </w:t>
      </w:r>
    </w:p>
    <w:p w:rsidR="00335865" w:rsidRDefault="0014121B">
      <w:pPr>
        <w:pStyle w:val="ProductList-Body"/>
        <w:spacing w:after="120"/>
        <w:rPr>
          <w:lang w:val="pt-BR"/>
        </w:rPr>
      </w:pPr>
      <w:r>
        <w:rPr>
          <w:rFonts w:ascii="Calibri" w:eastAsia="Calibri" w:hAnsi="Calibri" w:cs="Arial"/>
          <w:szCs w:val="18"/>
          <w:lang w:val="pt-BR"/>
        </w:rP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rPr>
          <w:rFonts w:ascii="Calibri" w:eastAsia="Calibri" w:hAnsi="Calibri" w:cs="Arial"/>
          <w:szCs w:val="18"/>
          <w:lang w:val="pt-BR"/>
        </w:rP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a referida entidade. </w:t>
      </w:r>
    </w:p>
    <w:p w:rsidR="00335865" w:rsidRDefault="0014121B">
      <w:pPr>
        <w:pStyle w:val="ProductList-Body"/>
        <w:spacing w:after="120"/>
        <w:rPr>
          <w:lang w:val="pt-BR"/>
        </w:rPr>
      </w:pPr>
      <w:r>
        <w:rPr>
          <w:rFonts w:ascii="Calibri" w:eastAsia="Calibri" w:hAnsi="Calibri" w:cs="Arial"/>
          <w:szCs w:val="18"/>
          <w:lang w:val="pt-BR"/>
        </w:rP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A responsabilidade do terceiro do subprocessador deverá se limitar às suas próprias operações de processamento de acordo com as Cláusulas. </w:t>
      </w:r>
    </w:p>
    <w:p w:rsidR="00335865" w:rsidRDefault="0014121B">
      <w:pPr>
        <w:pStyle w:val="ProductList-Body"/>
        <w:rPr>
          <w:lang w:val="pt-BR"/>
        </w:rPr>
      </w:pPr>
      <w:r>
        <w:rPr>
          <w:rFonts w:ascii="Calibri" w:eastAsia="Calibri" w:hAnsi="Calibri" w:cs="Arial"/>
          <w:szCs w:val="18"/>
          <w:lang w:val="pt-BR"/>
        </w:rPr>
        <w:t xml:space="preserve">4. As partes não se opõem ao titular dos dados que está sendo representado por uma associação ou outro órgão se o titular dos dados assim o desejar expressamente e se for permitido pela lei nacional. </w:t>
      </w:r>
    </w:p>
    <w:p w:rsidR="00335865" w:rsidRDefault="00335865">
      <w:pPr>
        <w:pStyle w:val="ProductList-Body"/>
        <w:rPr>
          <w:lang w:val="pt-BR"/>
        </w:rPr>
      </w:pPr>
    </w:p>
    <w:p w:rsidR="00335865" w:rsidRDefault="0014121B">
      <w:pPr>
        <w:rPr>
          <w:b/>
          <w:sz w:val="18"/>
          <w:lang w:val="pt-BR"/>
        </w:rPr>
      </w:pPr>
      <w:r>
        <w:rPr>
          <w:b/>
          <w:lang w:val="pt-BR"/>
        </w:rPr>
        <w:br w:type="page"/>
      </w:r>
    </w:p>
    <w:p w:rsidR="00335865" w:rsidRDefault="0014121B">
      <w:pPr>
        <w:pStyle w:val="ProductList-Body"/>
        <w:keepNext/>
        <w:jc w:val="center"/>
        <w:outlineLvl w:val="1"/>
        <w:rPr>
          <w:b/>
          <w:lang w:val="pt-BR"/>
        </w:rPr>
      </w:pPr>
      <w:r>
        <w:rPr>
          <w:rFonts w:ascii="Calibri" w:eastAsia="Calibri" w:hAnsi="Calibri" w:cs="Arial"/>
          <w:b/>
          <w:szCs w:val="18"/>
          <w:lang w:val="pt-BR"/>
        </w:rPr>
        <w:lastRenderedPageBreak/>
        <w:t>Cláusula 4: Obrigações do exportador de dados</w:t>
      </w:r>
    </w:p>
    <w:p w:rsidR="00335865" w:rsidRDefault="00335865">
      <w:pPr>
        <w:pStyle w:val="ProductList-Body"/>
        <w:keepNext/>
        <w:rPr>
          <w:lang w:val="pt-BR"/>
        </w:rPr>
      </w:pPr>
    </w:p>
    <w:p w:rsidR="00335865" w:rsidRDefault="0014121B">
      <w:pPr>
        <w:pStyle w:val="ProductList-Body"/>
        <w:keepNext/>
        <w:rPr>
          <w:lang w:val="pt-BR"/>
        </w:rPr>
      </w:pPr>
      <w:r>
        <w:rPr>
          <w:rFonts w:ascii="Calibri" w:eastAsia="Calibri" w:hAnsi="Calibri" w:cs="Arial"/>
          <w:szCs w:val="18"/>
          <w:lang w:val="pt-BR"/>
        </w:rPr>
        <w:t xml:space="preserve">O exportador de dados concorda e garante: </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(a) que o processamento, inclusive a transferência em si, dos dados pessoais foi e continuará sendo realizada de acordo com as disposições relevantes da lei de proteção de dados aplicável (e, se aplicável, foi notificado às autoridades relevantes do Estado Membro no qual o exportador de dados está estabelecido) e não está em violação das disposições relevantes desse Estado; </w:t>
      </w:r>
    </w:p>
    <w:p w:rsidR="00335865" w:rsidRDefault="0014121B">
      <w:pPr>
        <w:pStyle w:val="ProductList-Body"/>
        <w:spacing w:after="120"/>
        <w:rPr>
          <w:lang w:val="pt-BR"/>
        </w:rPr>
      </w:pPr>
      <w:r>
        <w:rPr>
          <w:rFonts w:ascii="Calibri" w:eastAsia="Calibri" w:hAnsi="Calibri" w:cs="Arial"/>
          <w:szCs w:val="18"/>
          <w:lang w:val="pt-BR"/>
        </w:rP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rsidR="00335865" w:rsidRDefault="0014121B">
      <w:pPr>
        <w:pStyle w:val="ProductList-Body"/>
        <w:spacing w:after="120"/>
        <w:rPr>
          <w:lang w:val="pt-BR"/>
        </w:rPr>
      </w:pPr>
      <w:r>
        <w:rPr>
          <w:rFonts w:ascii="Calibri" w:eastAsia="Calibri" w:hAnsi="Calibri" w:cs="Arial"/>
          <w:szCs w:val="18"/>
          <w:lang w:val="pt-BR"/>
        </w:rPr>
        <w:t xml:space="preserve">(c) que o importador de dados fornecerá garantias suficientes em relação às medidas de segurança técnicas e organizacionais especificadas no Apêndice 2 abaixo; </w:t>
      </w:r>
    </w:p>
    <w:p w:rsidR="00335865" w:rsidRDefault="0014121B">
      <w:pPr>
        <w:pStyle w:val="ProductList-Body"/>
        <w:tabs>
          <w:tab w:val="clear" w:pos="158"/>
          <w:tab w:val="left" w:pos="360"/>
        </w:tabs>
        <w:spacing w:after="120"/>
        <w:rPr>
          <w:lang w:val="pt-BR"/>
        </w:rPr>
      </w:pPr>
      <w:r>
        <w:rPr>
          <w:rFonts w:ascii="Calibri" w:eastAsia="Calibri" w:hAnsi="Calibri" w:cs="Arial"/>
          <w:szCs w:val="18"/>
          <w:lang w:val="pt-BR"/>
        </w:rPr>
        <w:t>(d)</w:t>
      </w:r>
      <w:r>
        <w:rPr>
          <w:rFonts w:ascii="Calibri" w:eastAsia="Calibri" w:hAnsi="Calibri" w:cs="Arial"/>
          <w:szCs w:val="18"/>
          <w:lang w:val="pt-BR"/>
        </w:rPr>
        <w:tab/>
        <w:t xml:space="preserve">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rsidR="00335865" w:rsidRDefault="0014121B">
      <w:pPr>
        <w:pStyle w:val="ProductList-Body"/>
        <w:tabs>
          <w:tab w:val="clear" w:pos="158"/>
          <w:tab w:val="left" w:pos="360"/>
        </w:tabs>
        <w:spacing w:after="120"/>
        <w:rPr>
          <w:lang w:val="pt-BR"/>
        </w:rPr>
      </w:pPr>
      <w:r>
        <w:rPr>
          <w:rFonts w:ascii="Calibri" w:eastAsia="Calibri" w:hAnsi="Calibri" w:cs="Arial"/>
          <w:szCs w:val="18"/>
          <w:lang w:val="pt-BR"/>
        </w:rPr>
        <w:t>(e)</w:t>
      </w:r>
      <w:r>
        <w:rPr>
          <w:rFonts w:ascii="Calibri" w:eastAsia="Calibri" w:hAnsi="Calibri" w:cs="Arial"/>
          <w:szCs w:val="18"/>
          <w:lang w:val="pt-BR"/>
        </w:rPr>
        <w:tab/>
        <w:t xml:space="preserve">que garantirá a conformidade com as medidas de segurança; </w:t>
      </w:r>
    </w:p>
    <w:p w:rsidR="00335865" w:rsidRDefault="0014121B">
      <w:pPr>
        <w:pStyle w:val="ProductList-Body"/>
        <w:tabs>
          <w:tab w:val="clear" w:pos="158"/>
          <w:tab w:val="left" w:pos="360"/>
        </w:tabs>
        <w:spacing w:after="120"/>
        <w:rPr>
          <w:lang w:val="pt-BR"/>
        </w:rPr>
      </w:pPr>
      <w:r>
        <w:rPr>
          <w:rFonts w:ascii="Calibri" w:eastAsia="Calibri" w:hAnsi="Calibri" w:cs="Arial"/>
          <w:szCs w:val="18"/>
          <w:lang w:val="pt-BR"/>
        </w:rP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rsidR="00335865" w:rsidRDefault="0014121B">
      <w:pPr>
        <w:pStyle w:val="ProductList-Body"/>
        <w:tabs>
          <w:tab w:val="clear" w:pos="158"/>
          <w:tab w:val="left" w:pos="360"/>
        </w:tabs>
        <w:spacing w:after="120"/>
        <w:rPr>
          <w:lang w:val="pt-BR"/>
        </w:rPr>
      </w:pPr>
      <w:r>
        <w:rPr>
          <w:rFonts w:ascii="Calibri" w:eastAsia="Calibri" w:hAnsi="Calibri" w:cs="Arial"/>
          <w:szCs w:val="18"/>
          <w:lang w:val="pt-BR"/>
        </w:rPr>
        <w:t>(g)</w:t>
      </w:r>
      <w:r>
        <w:rPr>
          <w:rFonts w:ascii="Calibri" w:eastAsia="Calibri" w:hAnsi="Calibri" w:cs="Arial"/>
          <w:szCs w:val="18"/>
          <w:lang w:val="pt-BR"/>
        </w:rPr>
        <w:tab/>
        <w:t xml:space="preserve">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rsidR="00335865" w:rsidRDefault="0014121B">
      <w:pPr>
        <w:pStyle w:val="ProductList-Body"/>
        <w:tabs>
          <w:tab w:val="clear" w:pos="158"/>
          <w:tab w:val="left" w:pos="360"/>
        </w:tabs>
        <w:spacing w:after="120"/>
        <w:rPr>
          <w:lang w:val="pt-BR"/>
        </w:rPr>
      </w:pPr>
      <w:r>
        <w:rPr>
          <w:rFonts w:ascii="Calibri" w:eastAsia="Calibri" w:hAnsi="Calibri" w:cs="Arial"/>
          <w:szCs w:val="18"/>
          <w:lang w:val="pt-BR"/>
        </w:rPr>
        <w:t xml:space="preserve">(h)disponibilizar aos titulares dos dados, mediante solicitação, uma cópia das Cláusulas com exceção do Apêndice 2 e uma descrição resumida das medidas de segurança, assim como uma cópia de qualquer contrato para serviços de subprocessamento que tenham que ser feitos de acordo com as Cláusulas, a menos que as Cláusulas ou o contrato contenham informações comerciais, caso em que ele pode remover essas informações comerciais; </w:t>
      </w:r>
    </w:p>
    <w:p w:rsidR="00335865" w:rsidRDefault="0014121B">
      <w:pPr>
        <w:pStyle w:val="ProductList-Body"/>
        <w:spacing w:after="120"/>
        <w:rPr>
          <w:lang w:val="pt-BR"/>
        </w:rPr>
      </w:pPr>
      <w:r>
        <w:rPr>
          <w:rFonts w:ascii="Calibri" w:eastAsia="Calibri" w:hAnsi="Calibri" w:cs="Arial"/>
          <w:szCs w:val="18"/>
          <w:lang w:val="pt-BR"/>
        </w:rPr>
        <w:t>(i)</w:t>
      </w:r>
      <w:r>
        <w:rPr>
          <w:rFonts w:ascii="Calibri" w:eastAsia="Calibri" w:hAnsi="Calibri" w:cs="Arial"/>
          <w:szCs w:val="18"/>
          <w:lang w:val="pt-BR"/>
        </w:rPr>
        <w:tab/>
        <w:t xml:space="preserve">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rsidR="00335865" w:rsidRDefault="0014121B">
      <w:pPr>
        <w:pStyle w:val="ProductList-Body"/>
        <w:rPr>
          <w:lang w:val="pt-BR"/>
        </w:rPr>
      </w:pPr>
      <w:r>
        <w:rPr>
          <w:rFonts w:ascii="Calibri" w:eastAsia="Calibri" w:hAnsi="Calibri" w:cs="Arial"/>
          <w:szCs w:val="18"/>
          <w:lang w:val="pt-BR"/>
        </w:rPr>
        <w:t>(j)</w:t>
      </w:r>
      <w:r>
        <w:rPr>
          <w:rFonts w:ascii="Calibri" w:eastAsia="Calibri" w:hAnsi="Calibri" w:cs="Arial"/>
          <w:szCs w:val="18"/>
          <w:lang w:val="pt-BR"/>
        </w:rPr>
        <w:tab/>
        <w:t>que garantirá a conformidade com as Cláusulas 4(a) até (i).</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5: Obrigações do importador de dados</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 xml:space="preserve">O importador de dados concorda e garante: </w:t>
      </w:r>
    </w:p>
    <w:p w:rsidR="00335865" w:rsidRDefault="00335865">
      <w:pPr>
        <w:pStyle w:val="ProductList-Body"/>
        <w:rPr>
          <w:lang w:val="pt-BR"/>
        </w:rPr>
      </w:pP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(a)</w:t>
      </w:r>
      <w:r>
        <w:rPr>
          <w:rFonts w:ascii="Calibri" w:eastAsia="Calibri" w:hAnsi="Calibri" w:cs="Arial"/>
          <w:szCs w:val="18"/>
          <w:lang w:val="pt-BR"/>
        </w:rPr>
        <w:tab/>
        <w:t xml:space="preserve">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(b)</w:t>
      </w:r>
      <w:r>
        <w:rPr>
          <w:rFonts w:ascii="Calibri" w:eastAsia="Calibri" w:hAnsi="Calibri" w:cs="Arial"/>
          <w:szCs w:val="18"/>
          <w:lang w:val="pt-BR"/>
        </w:rPr>
        <w:tab/>
        <w:t xml:space="preserve">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(c)</w:t>
      </w:r>
      <w:r>
        <w:rPr>
          <w:rFonts w:ascii="Calibri" w:eastAsia="Calibri" w:hAnsi="Calibri" w:cs="Arial"/>
          <w:szCs w:val="18"/>
          <w:lang w:val="pt-BR"/>
        </w:rPr>
        <w:tab/>
        <w:t xml:space="preserve">que ele implementou as medidas de segurança técnicas e organizacionais especificadas no Apêndice 2 abaixo antes de processar os dados pessoais transferidos; </w:t>
      </w:r>
    </w:p>
    <w:p w:rsidR="00335865" w:rsidRDefault="0014121B">
      <w:pPr>
        <w:pStyle w:val="ProductList-Body"/>
        <w:tabs>
          <w:tab w:val="clear" w:pos="158"/>
          <w:tab w:val="left" w:pos="270"/>
        </w:tabs>
        <w:rPr>
          <w:lang w:val="pt-BR"/>
        </w:rPr>
      </w:pPr>
      <w:r>
        <w:rPr>
          <w:rFonts w:ascii="Calibri" w:eastAsia="Calibri" w:hAnsi="Calibri" w:cs="Arial"/>
          <w:szCs w:val="18"/>
          <w:lang w:val="pt-BR"/>
        </w:rPr>
        <w:t>(d)</w:t>
      </w:r>
      <w:r>
        <w:rPr>
          <w:rFonts w:ascii="Calibri" w:eastAsia="Calibri" w:hAnsi="Calibri" w:cs="Arial"/>
          <w:szCs w:val="18"/>
          <w:lang w:val="pt-BR"/>
        </w:rPr>
        <w:tab/>
        <w:t xml:space="preserve">que ele notificará imediatamente o exportador de dados sobre: </w:t>
      </w:r>
    </w:p>
    <w:p w:rsidR="00335865" w:rsidRDefault="0014121B">
      <w:pPr>
        <w:pStyle w:val="ProductList-Body"/>
        <w:tabs>
          <w:tab w:val="clear" w:pos="158"/>
          <w:tab w:val="left" w:pos="540"/>
        </w:tabs>
        <w:spacing w:after="60"/>
        <w:ind w:left="360"/>
        <w:rPr>
          <w:lang w:val="pt-BR"/>
        </w:rPr>
      </w:pPr>
      <w:r>
        <w:rPr>
          <w:rFonts w:ascii="Calibri" w:eastAsia="Calibri" w:hAnsi="Calibri" w:cs="Arial"/>
          <w:szCs w:val="18"/>
          <w:lang w:val="pt-BR"/>
        </w:rPr>
        <w:t>(i)</w:t>
      </w:r>
      <w:r>
        <w:rPr>
          <w:rFonts w:ascii="Calibri" w:eastAsia="Calibri" w:hAnsi="Calibri" w:cs="Arial"/>
          <w:szCs w:val="18"/>
          <w:lang w:val="pt-BR"/>
        </w:rPr>
        <w:tab/>
        <w:t xml:space="preserve">qualquer solicitação de vínculo legal para divulgação de dados pessoais por uma autoridade de imposição da lei a menos que seja proibido, como uma proibição sob lei criminal para preservar a confidencialidade de uma investigação de imposição da lei, </w:t>
      </w:r>
    </w:p>
    <w:p w:rsidR="00335865" w:rsidRDefault="0014121B">
      <w:pPr>
        <w:pStyle w:val="ProductList-Body"/>
        <w:spacing w:after="60"/>
        <w:ind w:left="360"/>
        <w:rPr>
          <w:lang w:val="pt-BR"/>
        </w:rPr>
      </w:pPr>
      <w:r>
        <w:rPr>
          <w:rFonts w:ascii="Calibri" w:eastAsia="Calibri" w:hAnsi="Calibri" w:cs="Arial"/>
          <w:szCs w:val="18"/>
          <w:lang w:val="pt-BR"/>
        </w:rPr>
        <w:t xml:space="preserve">(ii)qualquer acesso acidental ou não autorizado e </w:t>
      </w:r>
    </w:p>
    <w:p w:rsidR="00335865" w:rsidRDefault="0014121B">
      <w:pPr>
        <w:pStyle w:val="ProductList-Body"/>
        <w:spacing w:after="120"/>
        <w:ind w:left="360"/>
        <w:rPr>
          <w:lang w:val="pt-BR"/>
        </w:rPr>
      </w:pPr>
      <w:r>
        <w:rPr>
          <w:rFonts w:ascii="Calibri" w:eastAsia="Calibri" w:hAnsi="Calibri" w:cs="Arial"/>
          <w:szCs w:val="18"/>
          <w:lang w:val="pt-BR"/>
        </w:rPr>
        <w:t>(iii)</w:t>
      </w:r>
      <w:r>
        <w:rPr>
          <w:rFonts w:ascii="Calibri" w:eastAsia="Calibri" w:hAnsi="Calibri" w:cs="Arial"/>
          <w:szCs w:val="18"/>
          <w:lang w:val="pt-BR"/>
        </w:rPr>
        <w:tab/>
        <w:t xml:space="preserve">qualquer solicitação recebida diretamente dos titulares dos dados sem responder àquela solicitação, a menos que tenha sido autorizado de outra forma a fazer isso;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(e)</w:t>
      </w:r>
      <w:r>
        <w:rPr>
          <w:rFonts w:ascii="Calibri" w:eastAsia="Calibri" w:hAnsi="Calibri" w:cs="Arial"/>
          <w:szCs w:val="18"/>
          <w:lang w:val="pt-BR"/>
        </w:rPr>
        <w:tab/>
        <w:t xml:space="preserve">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rsidR="00335865" w:rsidRDefault="0014121B">
      <w:pPr>
        <w:pStyle w:val="ProductList-Body"/>
        <w:spacing w:after="120"/>
        <w:rPr>
          <w:lang w:val="pt-BR"/>
        </w:rPr>
      </w:pPr>
      <w:r>
        <w:rPr>
          <w:rFonts w:ascii="Calibri" w:eastAsia="Calibri" w:hAnsi="Calibri" w:cs="Arial"/>
          <w:szCs w:val="18"/>
          <w:lang w:val="pt-BR"/>
        </w:rP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(g)</w:t>
      </w:r>
      <w:r>
        <w:rPr>
          <w:rFonts w:ascii="Calibri" w:eastAsia="Calibri" w:hAnsi="Calibri" w:cs="Arial"/>
          <w:szCs w:val="18"/>
          <w:lang w:val="pt-BR"/>
        </w:rPr>
        <w:tab/>
        <w:t xml:space="preserve">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(h)</w:t>
      </w:r>
      <w:r>
        <w:rPr>
          <w:rFonts w:ascii="Calibri" w:eastAsia="Calibri" w:hAnsi="Calibri" w:cs="Arial"/>
          <w:szCs w:val="18"/>
          <w:lang w:val="pt-BR"/>
        </w:rPr>
        <w:tab/>
        <w:t xml:space="preserve">que, no caso de subprocessamento, ele informou previamente o exportador de dados e obteve sua autorização prévia por escrito; </w:t>
      </w:r>
    </w:p>
    <w:p w:rsidR="00335865" w:rsidRDefault="0014121B">
      <w:pPr>
        <w:pStyle w:val="ProductList-Body"/>
        <w:spacing w:after="120"/>
        <w:rPr>
          <w:lang w:val="pt-BR"/>
        </w:rPr>
      </w:pPr>
      <w:r>
        <w:rPr>
          <w:rFonts w:ascii="Calibri" w:eastAsia="Calibri" w:hAnsi="Calibri" w:cs="Arial"/>
          <w:szCs w:val="18"/>
          <w:lang w:val="pt-BR"/>
        </w:rPr>
        <w:t>(i) que os serviços de processamento pelo subprocessador serão realizados de acordo com a Cláusula 11 e</w:t>
      </w:r>
    </w:p>
    <w:p w:rsidR="00335865" w:rsidRDefault="0014121B">
      <w:pPr>
        <w:pStyle w:val="ProductList-Body"/>
        <w:rPr>
          <w:lang w:val="pt-BR"/>
        </w:rPr>
      </w:pPr>
      <w:r>
        <w:rPr>
          <w:rFonts w:ascii="Calibri" w:eastAsia="Calibri" w:hAnsi="Calibri" w:cs="Arial"/>
          <w:szCs w:val="18"/>
          <w:lang w:val="pt-BR"/>
        </w:rPr>
        <w:t>(j)</w:t>
      </w:r>
      <w:r>
        <w:rPr>
          <w:rFonts w:ascii="Calibri" w:eastAsia="Calibri" w:hAnsi="Calibri" w:cs="Arial"/>
          <w:szCs w:val="18"/>
          <w:lang w:val="pt-BR"/>
        </w:rPr>
        <w:tab/>
        <w:t>enviar imediatamente ao exportador de dados uma cópia de qualquer contrato do subprocessador indicando as conclusões.</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6: Responsabilidade</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rsidR="00335865" w:rsidRDefault="0014121B">
      <w:pPr>
        <w:pStyle w:val="ProductList-Body"/>
        <w:spacing w:after="120"/>
        <w:rPr>
          <w:lang w:val="pt-BR"/>
        </w:rPr>
      </w:pPr>
      <w:r>
        <w:rPr>
          <w:rFonts w:ascii="Calibri" w:eastAsia="Calibri" w:hAnsi="Calibri" w:cs="Arial"/>
          <w:szCs w:val="18"/>
          <w:lang w:val="pt-BR"/>
        </w:rP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a referida entidade. </w:t>
      </w:r>
    </w:p>
    <w:p w:rsidR="00335865" w:rsidRDefault="0014121B">
      <w:pPr>
        <w:pStyle w:val="ProductList-Body"/>
        <w:spacing w:after="120"/>
        <w:rPr>
          <w:lang w:val="pt-BR"/>
        </w:rPr>
      </w:pPr>
      <w:r>
        <w:rPr>
          <w:rFonts w:ascii="Calibri" w:eastAsia="Calibri" w:hAnsi="Calibri" w:cs="Arial"/>
          <w:szCs w:val="18"/>
          <w:lang w:val="pt-BR"/>
        </w:rPr>
        <w:t xml:space="preserve">O importador de dados não pode se basear em uma violação por um subprocessador de suas obrigações a fim de evitar suas próprias responsabilidades. </w:t>
      </w:r>
    </w:p>
    <w:p w:rsidR="00335865" w:rsidRDefault="0014121B">
      <w:pPr>
        <w:pStyle w:val="ProductList-Body"/>
        <w:rPr>
          <w:lang w:val="pt-BR"/>
        </w:rPr>
      </w:pPr>
      <w:r>
        <w:rPr>
          <w:rFonts w:ascii="Calibri" w:eastAsia="Calibri" w:hAnsi="Calibri" w:cs="Arial"/>
          <w:szCs w:val="18"/>
          <w:lang w:val="pt-BR"/>
        </w:rP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a referida entidade. A responsabilidade do subprocessador deverá se limitar às suas próprias operações de processamento de acordo com as Cláusulas.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7: Mediação e jurisdição</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rsidR="00335865" w:rsidRDefault="0014121B">
      <w:pPr>
        <w:pStyle w:val="ProductList-Body"/>
        <w:spacing w:after="60"/>
        <w:ind w:left="360"/>
        <w:rPr>
          <w:lang w:val="pt-BR"/>
        </w:rPr>
      </w:pPr>
      <w:r>
        <w:rPr>
          <w:rFonts w:ascii="Calibri" w:eastAsia="Calibri" w:hAnsi="Calibri" w:cs="Arial"/>
          <w:szCs w:val="18"/>
          <w:lang w:val="pt-BR"/>
        </w:rPr>
        <w:t>(a)</w:t>
      </w:r>
      <w:r>
        <w:rPr>
          <w:rFonts w:ascii="Calibri" w:eastAsia="Calibri" w:hAnsi="Calibri" w:cs="Arial"/>
          <w:szCs w:val="18"/>
          <w:lang w:val="pt-BR"/>
        </w:rPr>
        <w:tab/>
        <w:t xml:space="preserve">enviar a disputa para mediação, por uma pessoa independente ou, onde aplicável, pela autoridade de supervisão; </w:t>
      </w:r>
    </w:p>
    <w:p w:rsidR="00335865" w:rsidRDefault="0014121B">
      <w:pPr>
        <w:pStyle w:val="ProductList-Body"/>
        <w:spacing w:after="120"/>
        <w:ind w:left="360"/>
        <w:rPr>
          <w:lang w:val="pt-BR"/>
        </w:rPr>
      </w:pPr>
      <w:r>
        <w:rPr>
          <w:rFonts w:ascii="Calibri" w:eastAsia="Calibri" w:hAnsi="Calibri" w:cs="Arial"/>
          <w:szCs w:val="18"/>
          <w:lang w:val="pt-BR"/>
        </w:rPr>
        <w:t>(b)</w:t>
      </w:r>
      <w:r>
        <w:rPr>
          <w:rFonts w:ascii="Calibri" w:eastAsia="Calibri" w:hAnsi="Calibri" w:cs="Arial"/>
          <w:szCs w:val="18"/>
          <w:lang w:val="pt-BR"/>
        </w:rPr>
        <w:tab/>
        <w:t xml:space="preserve">enviar a disputa aos tribunais no Estado Membro no qual o exportador de dados está sediado. </w:t>
      </w:r>
    </w:p>
    <w:p w:rsidR="00335865" w:rsidRDefault="0014121B">
      <w:pPr>
        <w:pStyle w:val="ProductList-Body"/>
        <w:rPr>
          <w:lang w:val="pt-BR"/>
        </w:rPr>
      </w:pPr>
      <w:r>
        <w:rPr>
          <w:rFonts w:ascii="Calibri" w:eastAsia="Calibri" w:hAnsi="Calibri" w:cs="Arial"/>
          <w:szCs w:val="18"/>
          <w:lang w:val="pt-BR"/>
        </w:rPr>
        <w:t xml:space="preserve">2. As partes concordam que a escolha feita pelo titular dos dados não prejudicará seus direitos reais ou processuais em procurar recursos de acordo com as outras provisões da lei nacional ou internacional.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8: Cooperação com as autoridades de supervisão</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O exportador de dados concorda em depositar uma cópia deste contrato com a autoridade de supervisão de forma que ele solicite ou se tal depósito for exigido de acordo com a lei de proteção de dados aplicável. </w:t>
      </w:r>
    </w:p>
    <w:p w:rsidR="00335865" w:rsidRDefault="0014121B">
      <w:pPr>
        <w:pStyle w:val="ProductList-Body"/>
        <w:spacing w:after="120"/>
        <w:rPr>
          <w:lang w:val="pt-BR"/>
        </w:rPr>
      </w:pPr>
      <w:r>
        <w:rPr>
          <w:rFonts w:ascii="Calibri" w:eastAsia="Calibri" w:hAnsi="Calibri" w:cs="Arial"/>
          <w:szCs w:val="18"/>
          <w:lang w:val="pt-BR"/>
        </w:rP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rsidR="00335865" w:rsidRDefault="0014121B">
      <w:pPr>
        <w:pStyle w:val="ProductList-Body"/>
        <w:rPr>
          <w:lang w:val="pt-BR"/>
        </w:rPr>
      </w:pPr>
      <w:r>
        <w:rPr>
          <w:rFonts w:ascii="Calibri" w:eastAsia="Calibri" w:hAnsi="Calibri" w:cs="Arial"/>
          <w:szCs w:val="18"/>
          <w:lang w:val="pt-BR"/>
        </w:rP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Nesse caso, o exportador de dados terá o direito de tomar as medidas previstas na Cláusula 5 (b).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lastRenderedPageBreak/>
        <w:t>Cláusula 9: Legislação Reguladora</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 xml:space="preserve">As Cláusulas deverão ser regidas pela lei do Estado Membro no qual o exportador de dados está sediado. </w:t>
      </w:r>
    </w:p>
    <w:p w:rsidR="00335865" w:rsidRDefault="00335865">
      <w:pPr>
        <w:pStyle w:val="ProductList-Body"/>
        <w:rPr>
          <w:lang w:val="pt-BR"/>
        </w:rPr>
      </w:pPr>
    </w:p>
    <w:p w:rsidR="00335865" w:rsidRDefault="0014121B">
      <w:pPr>
        <w:pStyle w:val="ProductList-Body"/>
        <w:keepNext/>
        <w:jc w:val="center"/>
        <w:outlineLvl w:val="1"/>
        <w:rPr>
          <w:b/>
          <w:lang w:val="pt-BR"/>
        </w:rPr>
      </w:pPr>
      <w:r>
        <w:rPr>
          <w:rFonts w:ascii="Calibri" w:eastAsia="Calibri" w:hAnsi="Calibri" w:cs="Arial"/>
          <w:b/>
          <w:szCs w:val="18"/>
          <w:lang w:val="pt-BR"/>
        </w:rPr>
        <w:t>Cláusula 10: Variação do contrato</w:t>
      </w:r>
    </w:p>
    <w:p w:rsidR="00335865" w:rsidRDefault="00335865">
      <w:pPr>
        <w:pStyle w:val="ProductList-Body"/>
        <w:keepNext/>
        <w:rPr>
          <w:lang w:val="pt-BR"/>
        </w:rPr>
      </w:pPr>
    </w:p>
    <w:p w:rsidR="00335865" w:rsidRDefault="0014121B">
      <w:pPr>
        <w:pStyle w:val="ProductList-Body"/>
        <w:rPr>
          <w:lang w:val="pt-BR"/>
        </w:rPr>
      </w:pPr>
      <w:r>
        <w:rPr>
          <w:rFonts w:ascii="Calibri" w:eastAsia="Calibri" w:hAnsi="Calibri" w:cs="Arial"/>
          <w:szCs w:val="18"/>
          <w:lang w:val="pt-BR"/>
        </w:rPr>
        <w:t xml:space="preserve">As partes prometem não variar nem modificar as Cláusulas. Isso não impede que as partes adicionem as cláusulas nas questões comerciais, onde exigido, contanto que elas não contradigam a Cláusula. </w:t>
      </w:r>
    </w:p>
    <w:p w:rsidR="00335865" w:rsidRDefault="00335865">
      <w:pPr>
        <w:pStyle w:val="ProductList-Body"/>
        <w:rPr>
          <w:b/>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11: Subprocessamento</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rsidR="00335865" w:rsidRDefault="0014121B">
      <w:pPr>
        <w:pStyle w:val="ProductList-Body"/>
        <w:spacing w:after="120"/>
        <w:rPr>
          <w:lang w:val="pt-BR"/>
        </w:rPr>
      </w:pPr>
      <w:r>
        <w:rPr>
          <w:rFonts w:ascii="Calibri" w:eastAsia="Calibri" w:hAnsi="Calibri" w:cs="Arial"/>
          <w:szCs w:val="18"/>
          <w:lang w:val="pt-BR"/>
        </w:rP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rsidR="00335865" w:rsidRDefault="0014121B">
      <w:pPr>
        <w:pStyle w:val="ProductList-Body"/>
        <w:spacing w:after="120"/>
        <w:rPr>
          <w:lang w:val="pt-BR"/>
        </w:rPr>
      </w:pPr>
      <w:r>
        <w:rPr>
          <w:rFonts w:ascii="Calibri" w:eastAsia="Calibri" w:hAnsi="Calibri" w:cs="Arial"/>
          <w:szCs w:val="18"/>
          <w:lang w:val="pt-BR"/>
        </w:rPr>
        <w:t xml:space="preserve">3. As disposições relativas aos aspectos de proteção de dados para o subprocessamento do contrato mencionado no parágrafo 1 deverão ser regidas pela lei do Estado Membro no qual o exportador de dados está estabelecido. </w:t>
      </w:r>
    </w:p>
    <w:p w:rsidR="00335865" w:rsidRDefault="0014121B">
      <w:pPr>
        <w:pStyle w:val="ProductList-Body"/>
        <w:rPr>
          <w:lang w:val="pt-BR"/>
        </w:rPr>
      </w:pPr>
      <w:r>
        <w:rPr>
          <w:rFonts w:ascii="Calibri" w:eastAsia="Calibri" w:hAnsi="Calibri" w:cs="Arial"/>
          <w:szCs w:val="18"/>
          <w:lang w:val="pt-BR"/>
        </w:rP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12: Obrigação depois do término dos serviços de processamento de dados pessoais</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As partes concordam que mediante a rescisão da prestação de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rsidR="00335865" w:rsidRDefault="0014121B">
      <w:pPr>
        <w:pStyle w:val="ProductList-Body"/>
        <w:rPr>
          <w:lang w:val="pt-BR"/>
        </w:rPr>
      </w:pPr>
      <w:r>
        <w:rPr>
          <w:rFonts w:ascii="Calibri" w:eastAsia="Calibri" w:hAnsi="Calibri" w:cs="Arial"/>
          <w:szCs w:val="18"/>
          <w:lang w:val="pt-BR"/>
        </w:rP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rsidR="00335865" w:rsidRDefault="00335865">
      <w:pPr>
        <w:pStyle w:val="ProductList-Body"/>
        <w:rPr>
          <w:lang w:val="pt-BR"/>
        </w:rPr>
      </w:pPr>
    </w:p>
    <w:p w:rsidR="00335865" w:rsidRDefault="0014121B">
      <w:pPr>
        <w:pStyle w:val="ProductList-Body"/>
        <w:outlineLvl w:val="1"/>
        <w:rPr>
          <w:b/>
          <w:lang w:val="pt-BR"/>
        </w:rPr>
      </w:pPr>
      <w:bookmarkStart w:id="25" w:name="Appendix1toAttachment3"/>
      <w:r>
        <w:rPr>
          <w:rFonts w:ascii="Calibri" w:eastAsia="Calibri" w:hAnsi="Calibri" w:cs="Arial"/>
          <w:b/>
          <w:szCs w:val="18"/>
          <w:lang w:val="pt-BR"/>
        </w:rPr>
        <w:t>Apêndice 1 às Cláusulas Contratuais Padrão</w:t>
      </w:r>
      <w:bookmarkEnd w:id="25"/>
      <w:r>
        <w:rPr>
          <w:rFonts w:ascii="Calibri" w:eastAsia="Calibri" w:hAnsi="Calibri" w:cs="Arial"/>
          <w:b/>
          <w:szCs w:val="18"/>
          <w:lang w:val="pt-BR"/>
        </w:rPr>
        <w:t xml:space="preserve"> para os Serviços de Suporte e Consultoria</w:t>
      </w:r>
    </w:p>
    <w:p w:rsidR="00335865" w:rsidRDefault="00335865">
      <w:pPr>
        <w:pStyle w:val="ProductList-Body"/>
        <w:rPr>
          <w:lang w:val="pt-BR"/>
        </w:rPr>
      </w:pPr>
    </w:p>
    <w:p w:rsidR="00335865" w:rsidRDefault="0014121B">
      <w:pPr>
        <w:pStyle w:val="ProductList-Body"/>
        <w:spacing w:after="120"/>
        <w:rPr>
          <w:rFonts w:cstheme="minorHAnsi"/>
          <w:spacing w:val="-1"/>
          <w:lang w:val="pt-BR"/>
        </w:rPr>
      </w:pPr>
      <w:r>
        <w:rPr>
          <w:rFonts w:ascii="Calibri" w:eastAsia="Calibri" w:hAnsi="Calibri" w:cs="Arial"/>
          <w:b/>
          <w:szCs w:val="18"/>
          <w:lang w:val="pt-BR"/>
        </w:rPr>
        <w:t>Exportador de dados</w:t>
      </w:r>
      <w:r>
        <w:rPr>
          <w:rFonts w:ascii="Calibri" w:eastAsia="Calibri" w:hAnsi="Calibri" w:cs="Arial"/>
          <w:szCs w:val="18"/>
          <w:lang w:val="pt-BR"/>
        </w:rPr>
        <w:t xml:space="preserve">: O Cliente é o exportador de dados. </w:t>
      </w:r>
      <w:r>
        <w:rPr>
          <w:rFonts w:ascii="Calibri" w:eastAsia="Calibri" w:hAnsi="Calibri" w:cs="Calibri"/>
          <w:szCs w:val="18"/>
          <w:lang w:val="pt-BR"/>
        </w:rPr>
        <w:t xml:space="preserve">O exportador de dados está obtendo suporte profissional de TI e serviços de consultoria conforme descrito na Ordem de Serviço do Enterprise Services aplicável. </w:t>
      </w:r>
    </w:p>
    <w:p w:rsidR="00335865" w:rsidRDefault="0014121B">
      <w:pPr>
        <w:pStyle w:val="ProductList-Body"/>
        <w:spacing w:after="120"/>
        <w:rPr>
          <w:lang w:val="pt-BR"/>
        </w:rPr>
      </w:pPr>
      <w:r>
        <w:rPr>
          <w:rFonts w:ascii="Calibri" w:eastAsia="Calibri" w:hAnsi="Calibri" w:cs="Arial"/>
          <w:b/>
          <w:szCs w:val="18"/>
          <w:lang w:val="pt-BR"/>
        </w:rPr>
        <w:t>Importador de dados:</w:t>
      </w:r>
      <w:r>
        <w:rPr>
          <w:rFonts w:ascii="Calibri" w:eastAsia="Calibri" w:hAnsi="Calibri" w:cs="Arial"/>
          <w:szCs w:val="18"/>
          <w:lang w:val="pt-BR"/>
        </w:rPr>
        <w:t xml:space="preserve"> O importador de dados é a Microsoft Corporation, uma produtora global de software e serviços. </w:t>
      </w:r>
    </w:p>
    <w:p w:rsidR="00335865" w:rsidRDefault="0014121B">
      <w:pPr>
        <w:pStyle w:val="ProductList-Body"/>
        <w:spacing w:after="120"/>
        <w:rPr>
          <w:lang w:val="pt-BR"/>
        </w:rPr>
      </w:pPr>
      <w:r>
        <w:rPr>
          <w:rFonts w:ascii="Calibri" w:eastAsia="Calibri" w:hAnsi="Calibri" w:cs="Arial"/>
          <w:b/>
          <w:szCs w:val="18"/>
          <w:lang w:val="pt-BR"/>
        </w:rPr>
        <w:t>Titulares dos dados</w:t>
      </w:r>
      <w:r>
        <w:rPr>
          <w:rFonts w:ascii="Calibri" w:eastAsia="Calibri" w:hAnsi="Calibri" w:cs="Arial"/>
          <w:szCs w:val="18"/>
          <w:lang w:val="pt-BR"/>
        </w:rPr>
        <w:t xml:space="preserve">: Os titulares dos dados incluem os representantes do exportador de dados e os usuários finais, inclusive funcionários, contratados, colaboradores e clientes do exportador de dados. Os titulares dos dados também podem incluir indivíduos que tentam comunicar ou transferir informações pessoais a usuários dos serviços fornecidos pelo importador de dados. </w:t>
      </w:r>
    </w:p>
    <w:p w:rsidR="00335865" w:rsidRDefault="0014121B">
      <w:pPr>
        <w:pStyle w:val="ProductList-Body"/>
        <w:spacing w:after="120"/>
        <w:rPr>
          <w:lang w:val="pt-BR"/>
        </w:rPr>
      </w:pPr>
      <w:r>
        <w:rPr>
          <w:rFonts w:ascii="Calibri" w:eastAsia="Calibri" w:hAnsi="Calibri" w:cs="Arial"/>
          <w:b/>
          <w:szCs w:val="18"/>
          <w:lang w:val="pt-BR"/>
        </w:rPr>
        <w:t>Categorias de dados</w:t>
      </w:r>
      <w:r>
        <w:rPr>
          <w:rFonts w:ascii="Calibri" w:eastAsia="Calibri" w:hAnsi="Calibri" w:cs="Arial"/>
          <w:szCs w:val="18"/>
          <w:lang w:val="pt-BR"/>
        </w:rPr>
        <w:t>: Os dados pessoais transferidos incluem e-mail, documentos e outros dados, em um formato eletrônico, conforme necessário a fim de prestar os Serviços Profissionais.</w:t>
      </w:r>
    </w:p>
    <w:p w:rsidR="00335865" w:rsidRDefault="0014121B">
      <w:pPr>
        <w:pStyle w:val="ProductList-Body"/>
        <w:rPr>
          <w:lang w:val="pt-BR"/>
        </w:rPr>
      </w:pPr>
      <w:r>
        <w:rPr>
          <w:rFonts w:ascii="Calibri" w:eastAsia="Calibri" w:hAnsi="Calibri" w:cs="Arial"/>
          <w:b/>
          <w:szCs w:val="18"/>
          <w:lang w:val="pt-BR"/>
        </w:rPr>
        <w:t>Operações de processamento</w:t>
      </w:r>
      <w:r>
        <w:rPr>
          <w:rFonts w:ascii="Calibri" w:eastAsia="Calibri" w:hAnsi="Calibri" w:cs="Arial"/>
          <w:szCs w:val="18"/>
          <w:lang w:val="pt-BR"/>
        </w:rPr>
        <w:t xml:space="preserve">: Os dados pessoais transferidos estarão sujeitos às seguintes atividades básicas de processamento: </w:t>
      </w:r>
    </w:p>
    <w:p w:rsidR="00335865" w:rsidRDefault="0014121B">
      <w:pPr>
        <w:pStyle w:val="ProductList-Body"/>
        <w:spacing w:after="60"/>
        <w:ind w:left="547"/>
        <w:rPr>
          <w:b/>
          <w:lang w:val="pt-BR"/>
        </w:rPr>
      </w:pPr>
      <w:r>
        <w:rPr>
          <w:rFonts w:ascii="Calibri" w:eastAsia="Calibri" w:hAnsi="Calibri" w:cs="Arial"/>
          <w:b/>
          <w:szCs w:val="18"/>
          <w:lang w:val="pt-BR"/>
        </w:rPr>
        <w:t>a.</w:t>
      </w:r>
      <w:r>
        <w:rPr>
          <w:rFonts w:ascii="Calibri" w:eastAsia="Calibri" w:hAnsi="Calibri" w:cs="Arial"/>
          <w:b/>
          <w:szCs w:val="18"/>
          <w:lang w:val="pt-BR"/>
        </w:rPr>
        <w:tab/>
        <w:t xml:space="preserve">Duração e Objeto do Processamento de Dados. </w:t>
      </w:r>
      <w:r>
        <w:rPr>
          <w:rFonts w:ascii="Calibri" w:eastAsia="Calibri" w:hAnsi="Calibri" w:cs="Arial"/>
          <w:szCs w:val="18"/>
          <w:lang w:val="pt-BR"/>
        </w:rPr>
        <w:t>A duração do processamento de dados será o prazo designado de acordo com o contrato de licenciamento por volume aplicável entre o exportador de dados e a entidade da Microsoft ao qual essas Cláusulas Contratuais Padrão estão anexadas (“Microsoft”). O objeto do processamento de dados é o desempenho dos Serviços Profissionais.</w:t>
      </w:r>
    </w:p>
    <w:p w:rsidR="00335865" w:rsidRDefault="0014121B">
      <w:pPr>
        <w:pStyle w:val="ProductList-Body"/>
        <w:spacing w:after="60"/>
        <w:ind w:left="547"/>
        <w:rPr>
          <w:b/>
          <w:lang w:val="pt-BR"/>
        </w:rPr>
      </w:pPr>
      <w:r>
        <w:rPr>
          <w:rFonts w:ascii="Calibri" w:eastAsia="Calibri" w:hAnsi="Calibri" w:cs="Arial"/>
          <w:b/>
          <w:szCs w:val="18"/>
          <w:lang w:val="pt-BR"/>
        </w:rPr>
        <w:lastRenderedPageBreak/>
        <w:t>b.</w:t>
      </w:r>
      <w:r>
        <w:rPr>
          <w:rFonts w:ascii="Calibri" w:eastAsia="Calibri" w:hAnsi="Calibri" w:cs="Arial"/>
          <w:b/>
          <w:szCs w:val="18"/>
          <w:lang w:val="pt-BR"/>
        </w:rPr>
        <w:tab/>
        <w:t xml:space="preserve">Escopo e Finalidade do Processamento de Dados. </w:t>
      </w:r>
      <w:r>
        <w:rPr>
          <w:rFonts w:ascii="Calibri" w:eastAsia="Calibri" w:hAnsi="Calibri" w:cs="Arial"/>
          <w:szCs w:val="18"/>
          <w:lang w:val="pt-BR"/>
        </w:rPr>
        <w:t>O escopo e a finalidade do processamento de dados pessoais estão descritos no Adendo e no Contrato.</w:t>
      </w:r>
    </w:p>
    <w:p w:rsidR="00335865" w:rsidRDefault="0014121B">
      <w:pPr>
        <w:pStyle w:val="ProductList-Body"/>
        <w:spacing w:after="60"/>
        <w:ind w:left="547"/>
        <w:rPr>
          <w:lang w:val="pt-BR"/>
        </w:rPr>
      </w:pPr>
      <w:r>
        <w:rPr>
          <w:rFonts w:ascii="Calibri" w:eastAsia="Calibri" w:hAnsi="Calibri" w:cs="Arial"/>
          <w:b/>
          <w:szCs w:val="18"/>
          <w:lang w:val="pt-BR"/>
        </w:rPr>
        <w:t>c.</w:t>
      </w:r>
      <w:r>
        <w:rPr>
          <w:rFonts w:ascii="Calibri" w:eastAsia="Calibri" w:hAnsi="Calibri" w:cs="Arial"/>
          <w:b/>
          <w:szCs w:val="18"/>
          <w:lang w:val="pt-BR"/>
        </w:rPr>
        <w:tab/>
        <w:t xml:space="preserve">Dados de Acesso de Suporte e Consultoria. </w:t>
      </w:r>
      <w:r>
        <w:rPr>
          <w:rFonts w:ascii="Calibri" w:eastAsia="Calibri" w:hAnsi="Calibri" w:cs="Arial"/>
          <w:szCs w:val="18"/>
          <w:lang w:val="pt-BR"/>
        </w:rPr>
        <w:t xml:space="preserve">Durante a vigência estipulada no Contrato, segundo sua escolha e conforme necessário nos termos da legislação aplicável que implementa o Artigo 12(b) da Diretiva de Proteção de Dados da UE, a Microsoft: (1) fornecerá ao Cliente a capacidade para corrigir, excluir ou bloquear Dados de Suporte e Consultoria, ou (2) fará essas correções, exclusões ou bloqueios em nome do Cliente. </w:t>
      </w:r>
    </w:p>
    <w:p w:rsidR="00335865" w:rsidRDefault="0014121B">
      <w:pPr>
        <w:pStyle w:val="ProductList-Body"/>
        <w:spacing w:after="60"/>
        <w:ind w:left="547"/>
        <w:rPr>
          <w:lang w:val="pt-BR"/>
        </w:rPr>
      </w:pPr>
      <w:r>
        <w:rPr>
          <w:rFonts w:ascii="Calibri" w:eastAsia="Calibri" w:hAnsi="Calibri" w:cs="Arial"/>
          <w:b/>
          <w:szCs w:val="18"/>
          <w:lang w:val="pt-BR"/>
        </w:rPr>
        <w:t>d.</w:t>
      </w:r>
      <w:r>
        <w:rPr>
          <w:rFonts w:ascii="Calibri" w:eastAsia="Calibri" w:hAnsi="Calibri" w:cs="Arial"/>
          <w:b/>
          <w:szCs w:val="18"/>
          <w:lang w:val="pt-BR"/>
        </w:rPr>
        <w:tab/>
        <w:t xml:space="preserve">Instruções do Exportador de Dados. </w:t>
      </w:r>
      <w:r>
        <w:rPr>
          <w:rFonts w:ascii="Calibri" w:eastAsia="Calibri" w:hAnsi="Calibri" w:cs="Arial"/>
          <w:szCs w:val="18"/>
          <w:lang w:val="pt-BR"/>
        </w:rPr>
        <w:t xml:space="preserve">Para os Serviços Profissionais, o importador de dados atuará somente conforme as instruções do exportador de dados conforme conduzidas pela Microsoft. </w:t>
      </w:r>
    </w:p>
    <w:p w:rsidR="00335865" w:rsidRDefault="0014121B">
      <w:pPr>
        <w:pStyle w:val="ProductList-Body"/>
        <w:spacing w:after="60"/>
        <w:ind w:left="547"/>
        <w:rPr>
          <w:lang w:val="pt-BR"/>
        </w:rPr>
      </w:pPr>
      <w:r>
        <w:rPr>
          <w:rFonts w:ascii="Calibri" w:eastAsia="Calibri" w:hAnsi="Calibri" w:cs="Arial"/>
          <w:b/>
          <w:szCs w:val="18"/>
          <w:lang w:val="pt-BR"/>
        </w:rPr>
        <w:t>e.</w:t>
      </w:r>
      <w:r>
        <w:rPr>
          <w:rFonts w:ascii="Calibri" w:eastAsia="Calibri" w:hAnsi="Calibri" w:cs="Arial"/>
          <w:b/>
          <w:szCs w:val="18"/>
          <w:lang w:val="pt-BR"/>
        </w:rPr>
        <w:tab/>
        <w:t>Exclusão ou Devolução de Dados de Suporte e Consultoria.</w:t>
      </w:r>
      <w:r>
        <w:rPr>
          <w:rFonts w:ascii="Calibri" w:eastAsia="Calibri" w:hAnsi="Calibri" w:cs="Arial"/>
          <w:szCs w:val="18"/>
          <w:lang w:val="pt-BR"/>
        </w:rPr>
        <w:t xml:space="preserve"> A Microsoft excluirá ou devolverá todas as cópias dos Dados de Suporte e Consultoria após as finalidades comerciais para as quais os Dados de Suporte e Consultoria foram coletados ou transferidos terem sido atendidas ou antes mediante solicitação por escrito do Cliente. </w:t>
      </w:r>
    </w:p>
    <w:p w:rsidR="00335865" w:rsidRDefault="0014121B">
      <w:pPr>
        <w:pStyle w:val="ProductList-Body"/>
        <w:rPr>
          <w:lang w:val="pt-BR"/>
        </w:rPr>
      </w:pPr>
      <w:r>
        <w:rPr>
          <w:rFonts w:ascii="Calibri" w:eastAsia="Calibri" w:hAnsi="Calibri" w:cs="Arial"/>
          <w:b/>
          <w:szCs w:val="18"/>
          <w:lang w:val="pt-BR"/>
        </w:rPr>
        <w:t xml:space="preserve">Subcontratados </w:t>
      </w:r>
      <w:r>
        <w:rPr>
          <w:rFonts w:ascii="Calibri" w:eastAsia="Calibri" w:hAnsi="Calibri" w:cs="Arial"/>
          <w:szCs w:val="18"/>
          <w:lang w:val="pt-BR"/>
        </w:rPr>
        <w:t>O importador de dados poderá contratar outras empresas para prestar serviços limitados em nome do importador. Esses subcontratados poderão obter os Dados de Suporte e Consultoria apenas para prestar serviços pelos quais foram contratados pelo importador de dados, e estarão proibidos de usar os Dados de Suporte e Consultoria para qualquer outra finalidade.</w:t>
      </w:r>
    </w:p>
    <w:p w:rsidR="00335865" w:rsidRDefault="00335865">
      <w:pPr>
        <w:pStyle w:val="ProductList-Body"/>
        <w:rPr>
          <w:lang w:val="pt-BR"/>
        </w:rPr>
      </w:pPr>
    </w:p>
    <w:p w:rsidR="00335865" w:rsidRDefault="0014121B">
      <w:pPr>
        <w:pStyle w:val="ProductList-Body"/>
        <w:outlineLvl w:val="1"/>
        <w:rPr>
          <w:b/>
          <w:lang w:val="pt-BR"/>
        </w:rPr>
      </w:pPr>
      <w:r>
        <w:rPr>
          <w:rFonts w:ascii="Calibri" w:eastAsia="Calibri" w:hAnsi="Calibri" w:cs="Arial"/>
          <w:b/>
          <w:szCs w:val="18"/>
          <w:lang w:val="pt-BR"/>
        </w:rPr>
        <w:t xml:space="preserve">Apêndice 2 às Cláusulas Contratuais Padrão para os Serviços de Suporte e Consultoria </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Descrição das medidas de segurança técnicas e organizacionais implementadas pelo importador de dados de acordo com as Cláusulas 4(d) e 5(c):</w:t>
      </w:r>
    </w:p>
    <w:p w:rsidR="00335865" w:rsidRDefault="0014121B">
      <w:pPr>
        <w:pStyle w:val="ProductList-Body"/>
        <w:spacing w:after="120"/>
        <w:rPr>
          <w:lang w:val="pt-BR"/>
        </w:rPr>
      </w:pPr>
      <w:r>
        <w:rPr>
          <w:rFonts w:ascii="Calibri" w:eastAsia="Calibri" w:hAnsi="Calibri" w:cs="Arial"/>
          <w:szCs w:val="18"/>
          <w:lang w:val="pt-BR"/>
        </w:rPr>
        <w:t xml:space="preserve">1. </w:t>
      </w:r>
      <w:r>
        <w:rPr>
          <w:rFonts w:ascii="Calibri" w:eastAsia="Calibri" w:hAnsi="Calibri" w:cs="Arial"/>
          <w:b/>
          <w:szCs w:val="18"/>
          <w:lang w:val="pt-BR"/>
        </w:rPr>
        <w:t>Equipe</w:t>
      </w:r>
      <w:r>
        <w:rPr>
          <w:rFonts w:ascii="Calibri" w:eastAsia="Calibri" w:hAnsi="Calibri" w:cs="Arial"/>
          <w:szCs w:val="18"/>
          <w:lang w:val="pt-BR"/>
        </w:rPr>
        <w:t xml:space="preserve">. A equipe ido importador de dados não processará os Dados de Suporte e Consultoria sem autorização. A equipe é obrigada a manter a confidencialidade de todos os Dados de Suporte e Consultoria, e essa obrigação permanece mesmo após o término da contratação. </w:t>
      </w:r>
    </w:p>
    <w:p w:rsidR="00335865" w:rsidRDefault="0014121B">
      <w:pPr>
        <w:pStyle w:val="ProductList-Body"/>
        <w:rPr>
          <w:lang w:val="pt-BR"/>
        </w:rPr>
      </w:pPr>
      <w:r>
        <w:rPr>
          <w:rFonts w:ascii="Calibri" w:eastAsia="Calibri" w:hAnsi="Calibri" w:cs="Arial"/>
          <w:szCs w:val="18"/>
          <w:lang w:val="pt-BR"/>
        </w:rPr>
        <w:t xml:space="preserve">2. </w:t>
      </w:r>
      <w:r>
        <w:rPr>
          <w:rFonts w:ascii="Calibri" w:eastAsia="Calibri" w:hAnsi="Calibri" w:cs="Arial"/>
          <w:b/>
          <w:szCs w:val="18"/>
          <w:lang w:val="pt-BR"/>
        </w:rPr>
        <w:t>Contato de Privacidade de Dados</w:t>
      </w:r>
      <w:r>
        <w:rPr>
          <w:rFonts w:ascii="Calibri" w:eastAsia="Calibri" w:hAnsi="Calibri" w:cs="Arial"/>
          <w:szCs w:val="18"/>
          <w:lang w:val="pt-BR"/>
        </w:rPr>
        <w:t xml:space="preserve">. O oficial de privacidade de dados do importador de dados poderá ser contatado no seguinte endereço: </w:t>
      </w:r>
    </w:p>
    <w:p w:rsidR="00335865" w:rsidRDefault="0014121B">
      <w:pPr>
        <w:pStyle w:val="ProductList-Body"/>
        <w:ind w:left="180"/>
        <w:rPr>
          <w:lang w:val="pt-BR"/>
        </w:rPr>
      </w:pPr>
      <w:r>
        <w:rPr>
          <w:rFonts w:ascii="Calibri" w:eastAsia="Calibri" w:hAnsi="Calibri" w:cs="Arial"/>
          <w:szCs w:val="18"/>
          <w:lang w:val="pt-BR"/>
        </w:rPr>
        <w:t xml:space="preserve">Microsoft Corporation </w:t>
      </w:r>
    </w:p>
    <w:p w:rsidR="00335865" w:rsidRDefault="0014121B">
      <w:pPr>
        <w:pStyle w:val="ProductList-Body"/>
        <w:ind w:left="180"/>
        <w:rPr>
          <w:lang w:val="pt-BR"/>
        </w:rPr>
      </w:pPr>
      <w:r>
        <w:rPr>
          <w:rFonts w:ascii="Calibri" w:eastAsia="Calibri" w:hAnsi="Calibri" w:cs="Arial"/>
          <w:szCs w:val="18"/>
          <w:lang w:val="pt-BR"/>
        </w:rPr>
        <w:t xml:space="preserve">Aos cuidados de: Diretor de Privacidade </w:t>
      </w:r>
    </w:p>
    <w:p w:rsidR="00335865" w:rsidRDefault="0014121B">
      <w:pPr>
        <w:pStyle w:val="ProductList-Body"/>
        <w:ind w:left="180"/>
        <w:rPr>
          <w:lang w:val="pt-BR"/>
        </w:rPr>
      </w:pPr>
      <w:r>
        <w:rPr>
          <w:rFonts w:ascii="Calibri" w:eastAsia="Calibri" w:hAnsi="Calibri" w:cs="Arial"/>
          <w:szCs w:val="18"/>
          <w:lang w:val="pt-BR"/>
        </w:rPr>
        <w:t xml:space="preserve">1 Microsoft Way </w:t>
      </w:r>
    </w:p>
    <w:p w:rsidR="00335865" w:rsidRDefault="0014121B">
      <w:pPr>
        <w:pStyle w:val="ProductList-Body"/>
        <w:spacing w:after="120"/>
        <w:ind w:left="180"/>
        <w:rPr>
          <w:lang w:val="pt-BR"/>
        </w:rPr>
      </w:pPr>
      <w:r>
        <w:rPr>
          <w:rFonts w:ascii="Calibri" w:eastAsia="Calibri" w:hAnsi="Calibri" w:cs="Arial"/>
          <w:szCs w:val="18"/>
          <w:lang w:val="pt-BR"/>
        </w:rPr>
        <w:t xml:space="preserve">Redmond, WA 98052 USA </w:t>
      </w:r>
    </w:p>
    <w:p w:rsidR="00335865" w:rsidRDefault="0014121B">
      <w:pPr>
        <w:pStyle w:val="ProductList-Body"/>
        <w:spacing w:after="120"/>
        <w:rPr>
          <w:lang w:val="pt-BR"/>
        </w:rPr>
      </w:pPr>
      <w:r>
        <w:rPr>
          <w:rFonts w:ascii="Calibri" w:eastAsia="Calibri" w:hAnsi="Calibri" w:cs="Arial"/>
          <w:szCs w:val="18"/>
          <w:lang w:val="pt-BR"/>
        </w:rPr>
        <w:t xml:space="preserve">3. </w:t>
      </w:r>
      <w:r>
        <w:rPr>
          <w:rFonts w:ascii="Calibri" w:eastAsia="Calibri" w:hAnsi="Calibri" w:cs="Arial"/>
          <w:b/>
          <w:szCs w:val="18"/>
          <w:lang w:val="pt-BR"/>
        </w:rPr>
        <w:t>Medidas Técnicas e Organizacionais</w:t>
      </w:r>
      <w:r>
        <w:rPr>
          <w:rFonts w:ascii="Calibri" w:eastAsia="Calibri" w:hAnsi="Calibri" w:cs="Arial"/>
          <w:szCs w:val="18"/>
          <w:lang w:val="pt-BR"/>
        </w:rPr>
        <w:t>. O importador de dados implementou e manterá as medidas técnicas e organizacionais apropriadas, controles internos e rotinas de segurança de informações para proteger os Dados de Suporte e Consultoria, conforme definido no Adendo de Proteção de Dados dos Serviços Microsoft Professional, contra perda, destruição ou alteração acidentais, divulgação ou acesso não autorizados ou destruição indevida, da seguinte forma: As medidas técnicas e organizacionais, os controles internos e as rotinas de segurança de informações estabelecidas no Anexo 1 estão, por meio deste, incorporadas neste Apêndice 2 por esta referência e vinculam legalmente o importador de dados como se estivessem estabelecidas neste Apêndice 2 em sua totalidade.</w:t>
      </w:r>
    </w:p>
    <w:p w:rsidR="00335865" w:rsidRDefault="0014121B">
      <w:pPr>
        <w:pStyle w:val="ProductList-Body"/>
        <w:rPr>
          <w:lang w:val="pt-BR"/>
        </w:rPr>
      </w:pPr>
      <w:r>
        <w:rPr>
          <w:rFonts w:ascii="Calibri" w:eastAsia="Calibri" w:hAnsi="Calibri" w:cs="Arial"/>
          <w:szCs w:val="18"/>
          <w:lang w:val="pt-BR"/>
        </w:rPr>
        <w:t>A assinatura da Microsoft Corporation é exibida na página a seguir.</w:t>
      </w:r>
    </w:p>
    <w:p w:rsidR="00335865" w:rsidRDefault="0014121B">
      <w:pPr>
        <w:pStyle w:val="ProductList-Body"/>
        <w:rPr>
          <w:lang w:val="pt-BR"/>
        </w:rPr>
      </w:pPr>
      <w:r>
        <w:rPr>
          <w:lang w:val="pt-BR"/>
        </w:rPr>
        <w:br w:type="page"/>
      </w:r>
    </w:p>
    <w:p w:rsidR="00335865" w:rsidRDefault="00335865">
      <w:pPr>
        <w:pStyle w:val="ProductList-Body"/>
        <w:rPr>
          <w:lang w:val="pt-BR"/>
        </w:rPr>
      </w:pPr>
    </w:p>
    <w:p w:rsidR="00335865" w:rsidRDefault="0014121B">
      <w:pPr>
        <w:pStyle w:val="ProductList-Body"/>
        <w:outlineLvl w:val="1"/>
        <w:rPr>
          <w:b/>
          <w:lang w:val="pt-BR"/>
        </w:rPr>
      </w:pPr>
      <w:r>
        <w:rPr>
          <w:rFonts w:ascii="Calibri" w:eastAsia="Calibri" w:hAnsi="Calibri" w:cs="Arial"/>
          <w:b/>
          <w:szCs w:val="18"/>
          <w:lang w:val="pt-BR"/>
        </w:rPr>
        <w:t>Assinando as Cláusulas Contratuais Padrão para os Serviços Profissionais, o Apêndice 1 e o Apêndice 2, em nome do importador de dados:</w:t>
      </w:r>
    </w:p>
    <w:p w:rsidR="00335865" w:rsidRDefault="00335865">
      <w:pPr>
        <w:pStyle w:val="ProductList-Body"/>
        <w:rPr>
          <w:lang w:val="pt-BR"/>
        </w:rPr>
      </w:pPr>
    </w:p>
    <w:p w:rsidR="00335865" w:rsidRDefault="0014121B">
      <w:pPr>
        <w:keepNext/>
        <w:tabs>
          <w:tab w:val="left" w:pos="1896"/>
        </w:tabs>
        <w:spacing w:before="360"/>
        <w:rPr>
          <w:lang w:val="pt-BR"/>
        </w:rPr>
      </w:pPr>
      <w:r>
        <w:rPr>
          <w:rFonts w:ascii="Calibri" w:eastAsia="Calibri" w:hAnsi="Calibri" w:cs="Arial"/>
          <w:lang w:val="pt-BR"/>
        </w:rPr>
        <w:t xml:space="preserve">Assinatura: </w:t>
      </w:r>
    </w:p>
    <w:p w:rsidR="00335865" w:rsidRDefault="0014121B">
      <w:pPr>
        <w:keepNext/>
        <w:tabs>
          <w:tab w:val="right" w:pos="9000"/>
        </w:tabs>
        <w:spacing w:before="360"/>
        <w:rPr>
          <w:rFonts w:cstheme="minorHAnsi"/>
          <w:b/>
          <w:spacing w:val="-2"/>
          <w:sz w:val="28"/>
          <w:lang w:val="pt-BR"/>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171963" name=""/>
                    <pic:cNvPicPr/>
                  </pic:nvPicPr>
                  <pic:blipFill>
                    <a:blip r:embed="rId15"/>
                    <a:stretch>
                      <a:fillRect/>
                    </a:stretch>
                  </pic:blipFill>
                  <pic:spPr>
                    <a:xfrm>
                      <a:off x="0" y="0"/>
                      <a:ext cx="1868885" cy="690050"/>
                    </a:xfrm>
                    <a:prstGeom prst="rect">
                      <a:avLst/>
                    </a:prstGeom>
                  </pic:spPr>
                </pic:pic>
              </a:graphicData>
            </a:graphic>
          </wp:inline>
        </w:drawing>
      </w:r>
    </w:p>
    <w:p w:rsidR="00335865" w:rsidRPr="00AD60C5" w:rsidRDefault="0014121B">
      <w:pPr>
        <w:keepNext/>
        <w:spacing w:after="120"/>
        <w:rPr>
          <w:rFonts w:cstheme="minorHAnsi"/>
          <w:b/>
          <w:lang w:val="it-IT"/>
        </w:rPr>
      </w:pPr>
      <w:r w:rsidRPr="00AD60C5">
        <w:rPr>
          <w:rFonts w:ascii="Calibri" w:eastAsia="Calibri" w:hAnsi="Calibri" w:cs="Calibri"/>
          <w:b/>
          <w:spacing w:val="-2"/>
          <w:lang w:val="it-IT"/>
        </w:rPr>
        <w:t>Anand Eswaran, vice-presidente corporativo</w:t>
      </w:r>
    </w:p>
    <w:p w:rsidR="00335865" w:rsidRPr="00AD60C5" w:rsidRDefault="0014121B">
      <w:pPr>
        <w:pStyle w:val="ProductList-Body"/>
        <w:rPr>
          <w:lang w:val="it-IT"/>
        </w:rPr>
      </w:pPr>
      <w:r w:rsidRPr="00AD60C5">
        <w:rPr>
          <w:rFonts w:ascii="Calibri" w:eastAsia="Calibri" w:hAnsi="Calibri" w:cs="Arial"/>
          <w:szCs w:val="18"/>
          <w:lang w:val="it-IT"/>
        </w:rPr>
        <w:t>Microsoft Corporation</w:t>
      </w:r>
    </w:p>
    <w:p w:rsidR="00335865" w:rsidRPr="00AD60C5" w:rsidRDefault="0014121B">
      <w:pPr>
        <w:pStyle w:val="ProductList-Body"/>
      </w:pPr>
      <w:r w:rsidRPr="00AD60C5">
        <w:rPr>
          <w:rFonts w:ascii="Calibri" w:eastAsia="Calibri" w:hAnsi="Calibri" w:cs="Arial"/>
          <w:szCs w:val="18"/>
        </w:rPr>
        <w:t>One Microsoft Way</w:t>
      </w:r>
    </w:p>
    <w:p w:rsidR="00335865" w:rsidRPr="00AD60C5" w:rsidRDefault="0014121B">
      <w:pPr>
        <w:pStyle w:val="ProductList-Body"/>
      </w:pPr>
      <w:r w:rsidRPr="00AD60C5">
        <w:rPr>
          <w:rFonts w:ascii="Calibri" w:eastAsia="Calibri" w:hAnsi="Calibri" w:cs="Arial"/>
          <w:szCs w:val="18"/>
        </w:rPr>
        <w:t>Redmond, WA 98052 USA</w:t>
      </w:r>
    </w:p>
    <w:p w:rsidR="00335865" w:rsidRPr="00AD60C5" w:rsidRDefault="0014121B">
      <w:pPr>
        <w:rPr>
          <w:rFonts w:cstheme="minorHAnsi"/>
          <w:b/>
          <w:sz w:val="24"/>
          <w:szCs w:val="24"/>
          <w:lang w:eastAsia="zh-CN"/>
        </w:rPr>
      </w:pPr>
      <w:r w:rsidRPr="00AD60C5">
        <w:rPr>
          <w:rFonts w:cstheme="minorHAnsi"/>
          <w:b/>
          <w:sz w:val="24"/>
          <w:szCs w:val="24"/>
          <w:lang w:eastAsia="zh-CN"/>
        </w:rPr>
        <w:br w:type="page"/>
      </w:r>
    </w:p>
    <w:p w:rsidR="00335865" w:rsidRDefault="0014121B">
      <w:pPr>
        <w:pStyle w:val="ProductList-SectionHeading"/>
        <w:outlineLvl w:val="0"/>
        <w:rPr>
          <w:lang w:val="pt-BR"/>
        </w:rPr>
      </w:pPr>
      <w:r>
        <w:rPr>
          <w:rFonts w:ascii="Calibri Light" w:eastAsia="Calibri Light" w:hAnsi="Calibri Light" w:cs="Arial"/>
          <w:szCs w:val="40"/>
          <w:lang w:val="pt-BR"/>
        </w:rPr>
        <w:lastRenderedPageBreak/>
        <w:t>Anexo 2 – As Cláusulas Contratuais Padrão (Processadores) para Serviços de Consultoria prestados pelo Global Delivery Índia</w:t>
      </w:r>
    </w:p>
    <w:p w:rsidR="00335865" w:rsidRDefault="0014121B">
      <w:pPr>
        <w:pStyle w:val="ProductList-Body"/>
        <w:rPr>
          <w:lang w:val="pt-BR"/>
        </w:rPr>
      </w:pPr>
      <w:r>
        <w:rPr>
          <w:rFonts w:ascii="Calibri" w:eastAsia="Calibri" w:hAnsi="Calibri" w:cs="Arial"/>
          <w:szCs w:val="18"/>
          <w:lang w:val="pt-BR"/>
        </w:rPr>
        <w:t>A assinatura de uma declaração de serviços pelo Cliente inclui a assinatura deste Anexo 2, que também é assinada pela Microsoft Global Delivery Índia. Para recusar as “Cláusulas Contratuais Padrão”, o Cliente precisa enviar as seguintes informações à Microsoft em uma notificação por escrito (de acordo com os termos do contrato do Cliente):</w:t>
      </w:r>
    </w:p>
    <w:p w:rsidR="00335865" w:rsidRDefault="0014121B">
      <w:pPr>
        <w:pStyle w:val="ProductList-Body"/>
        <w:rPr>
          <w:lang w:val="pt-BR"/>
        </w:rPr>
      </w:pPr>
      <w:r>
        <w:rPr>
          <w:rFonts w:ascii="Calibri" w:eastAsia="Calibri" w:hAnsi="Calibri" w:cs="Arial"/>
          <w:szCs w:val="18"/>
          <w:lang w:val="pt-BR"/>
        </w:rPr>
        <w:t>•</w:t>
      </w:r>
      <w:r>
        <w:rPr>
          <w:rFonts w:ascii="Calibri" w:eastAsia="Calibri" w:hAnsi="Calibri" w:cs="Arial"/>
          <w:szCs w:val="18"/>
          <w:lang w:val="pt-BR"/>
        </w:rPr>
        <w:tab/>
        <w:t>a razão social completa do Cliente e de qualquer Afiliada que estiver recusando as cláusulas;</w:t>
      </w:r>
    </w:p>
    <w:p w:rsidR="00335865" w:rsidRDefault="0014121B">
      <w:pPr>
        <w:pStyle w:val="ProductList-Body"/>
        <w:rPr>
          <w:lang w:val="pt-BR"/>
        </w:rPr>
      </w:pPr>
      <w:r>
        <w:rPr>
          <w:rFonts w:ascii="Calibri" w:eastAsia="Calibri" w:hAnsi="Calibri" w:cs="Arial"/>
          <w:szCs w:val="18"/>
          <w:lang w:val="pt-BR"/>
        </w:rPr>
        <w:t>•</w:t>
      </w:r>
      <w:r>
        <w:rPr>
          <w:rFonts w:ascii="Calibri" w:eastAsia="Calibri" w:hAnsi="Calibri" w:cs="Arial"/>
          <w:szCs w:val="18"/>
          <w:lang w:val="pt-BR"/>
        </w:rPr>
        <w:tab/>
        <w:t>se o Cliente tiver múltiplos Contratos, o Contrato ao qual a recusa das cláusulas se aplica; e</w:t>
      </w:r>
    </w:p>
    <w:p w:rsidR="00335865" w:rsidRDefault="0014121B">
      <w:pPr>
        <w:pStyle w:val="ProductList-Body"/>
        <w:rPr>
          <w:lang w:val="pt-BR"/>
        </w:rPr>
      </w:pPr>
      <w:r>
        <w:rPr>
          <w:rFonts w:ascii="Calibri" w:eastAsia="Calibri" w:hAnsi="Calibri" w:cs="Arial"/>
          <w:szCs w:val="18"/>
          <w:lang w:val="pt-BR"/>
        </w:rPr>
        <w:t>•</w:t>
      </w:r>
      <w:r>
        <w:rPr>
          <w:rFonts w:ascii="Calibri" w:eastAsia="Calibri" w:hAnsi="Calibri" w:cs="Arial"/>
          <w:szCs w:val="18"/>
          <w:lang w:val="pt-BR"/>
        </w:rPr>
        <w:tab/>
        <w:t>uma declaração de que o Cliente (ou Afiliada) recusa as Cláusulas Contratuais Padrão.</w:t>
      </w:r>
    </w:p>
    <w:p w:rsidR="00335865" w:rsidRDefault="0014121B">
      <w:pPr>
        <w:pStyle w:val="ProductList-Body"/>
        <w:rPr>
          <w:lang w:val="pt-BR"/>
        </w:rPr>
      </w:pPr>
      <w:r>
        <w:rPr>
          <w:rFonts w:ascii="Calibri" w:eastAsia="Calibri" w:hAnsi="Calibri" w:cs="Arial"/>
          <w:szCs w:val="18"/>
          <w:lang w:val="pt-BR"/>
        </w:rP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rsidR="00335865" w:rsidRDefault="0014121B">
      <w:pPr>
        <w:pStyle w:val="ProductList-Body"/>
        <w:rPr>
          <w:lang w:val="pt-BR"/>
        </w:rPr>
      </w:pPr>
      <w:r>
        <w:rPr>
          <w:rFonts w:ascii="Calibri" w:eastAsia="Calibri" w:hAnsi="Calibri" w:cs="Arial"/>
          <w:szCs w:val="18"/>
          <w:lang w:val="pt-BR"/>
        </w:rPr>
        <w:t>A partir de 25 de maio de 2018 e, posteriormente, referências a diversos Artigos da Diretiva 95/46/CE nas Cláusulas Contratuais Padrão abaixo serão tratadas como referências aos Artigos relevantes e adequados no RGPD.</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Para os objetivos do Artigo 26(2) da Diretiva 95/46/EC para a transferência de dados pessoais a processadores estabelecidos em países terceiros que não garantam um nível adequado de proteção dos dados, o Cliente (como o exportador dos dados) e a Microsoft Global Services Center (Índia) Private Limited (como o importador dos dados, cuja assinatura é exibida a seguir), individualmente uma “parte”, coletivamente, “as partes”, concordaram com as seguintes Cláusulas Contratuais (“Cláusulas” ou “Cláusulas Contratuais Padrão”) para fornecer garantias adequadas relativas à proteção de direitos fundamentais e à privacidade e liberdade de indivíduos para a transferência realizada pelo exportador ao importador dos dados pessoais especificados no Apêndice 1.</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1: Definições</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rsidR="00335865" w:rsidRDefault="0014121B">
      <w:pPr>
        <w:pStyle w:val="ProductList-Body"/>
        <w:spacing w:after="120"/>
        <w:rPr>
          <w:lang w:val="pt-BR"/>
        </w:rPr>
      </w:pPr>
      <w:r>
        <w:rPr>
          <w:rFonts w:ascii="Calibri" w:eastAsia="Calibri" w:hAnsi="Calibri" w:cs="Arial"/>
          <w:szCs w:val="18"/>
          <w:lang w:val="pt-BR"/>
        </w:rPr>
        <w:t xml:space="preserve">(b) ‘exportador de dados’ significa o controlador que transfere os dados pessoais; </w:t>
      </w:r>
    </w:p>
    <w:p w:rsidR="00335865" w:rsidRDefault="0014121B">
      <w:pPr>
        <w:pStyle w:val="ProductList-Body"/>
        <w:spacing w:after="120"/>
        <w:rPr>
          <w:lang w:val="pt-BR"/>
        </w:rPr>
      </w:pPr>
      <w:r>
        <w:rPr>
          <w:rFonts w:ascii="Calibri" w:eastAsia="Calibri" w:hAnsi="Calibri" w:cs="Arial"/>
          <w:szCs w:val="18"/>
          <w:lang w:val="pt-BR"/>
        </w:rP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Diretiva95/46/EC; </w:t>
      </w:r>
    </w:p>
    <w:p w:rsidR="00335865" w:rsidRDefault="0014121B">
      <w:pPr>
        <w:pStyle w:val="ProductList-Body"/>
        <w:spacing w:after="120"/>
        <w:rPr>
          <w:lang w:val="pt-BR"/>
        </w:rPr>
      </w:pPr>
      <w:r>
        <w:rPr>
          <w:rFonts w:ascii="Calibri" w:eastAsia="Calibri" w:hAnsi="Calibri" w:cs="Arial"/>
          <w:szCs w:val="18"/>
          <w:lang w:val="pt-BR"/>
        </w:rPr>
        <w:t>(d)</w:t>
      </w:r>
      <w:r>
        <w:rPr>
          <w:rFonts w:ascii="Calibri" w:eastAsia="Calibri" w:hAnsi="Calibri" w:cs="Arial"/>
          <w:szCs w:val="18"/>
          <w:lang w:val="pt-BR"/>
        </w:rPr>
        <w:tab/>
        <w:t xml:space="preserve">‘subprocessador’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rsidR="00335865" w:rsidRDefault="0014121B">
      <w:pPr>
        <w:pStyle w:val="ProductList-Body"/>
        <w:spacing w:after="120"/>
        <w:rPr>
          <w:lang w:val="pt-BR"/>
        </w:rPr>
      </w:pPr>
      <w:r>
        <w:rPr>
          <w:rFonts w:ascii="Calibri" w:eastAsia="Calibri" w:hAnsi="Calibri" w:cs="Arial"/>
          <w:szCs w:val="18"/>
          <w:lang w:val="pt-BR"/>
        </w:rPr>
        <w:t>(e)</w:t>
      </w:r>
      <w:r>
        <w:rPr>
          <w:rFonts w:ascii="Calibri" w:eastAsia="Calibri" w:hAnsi="Calibri" w:cs="Arial"/>
          <w:szCs w:val="18"/>
          <w:lang w:val="pt-BR"/>
        </w:rPr>
        <w:tab/>
        <w:t xml:space="preserve">‘lei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rsidR="00335865" w:rsidRDefault="0014121B">
      <w:pPr>
        <w:pStyle w:val="ProductList-Body"/>
        <w:rPr>
          <w:lang w:val="pt-BR"/>
        </w:rPr>
      </w:pPr>
      <w:r>
        <w:rPr>
          <w:rFonts w:ascii="Calibri" w:eastAsia="Calibri" w:hAnsi="Calibri" w:cs="Arial"/>
          <w:szCs w:val="18"/>
          <w:lang w:val="pt-BR"/>
        </w:rPr>
        <w:t>(f)</w:t>
      </w:r>
      <w:r>
        <w:rPr>
          <w:rFonts w:ascii="Calibri" w:eastAsia="Calibri" w:hAnsi="Calibri" w:cs="Arial"/>
          <w:szCs w:val="18"/>
          <w:lang w:val="pt-BR"/>
        </w:rPr>
        <w:tab/>
        <w:t xml:space="preserve">‘medidas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2: Detalhes da transferência</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Os detalhes da transferência e em particular as categorias especiais de dados pessoais, onde aplicável, são especificadas no Apêndice 1 abaixo que constituem uma parte integral das Cláusulas.</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3: Cláusula de terceiro beneficiário</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O titular dos dados pode impor esta Cláusula, a Cláusula 4(b) até (i), Cláusula 5(a) até (e) e (g) até (j), Cláusula 6(1) e (2), Cláusula 7, Cláusula 8(2) e as Cláusulas 9 a 12 ao exportador de dados como terceiro beneficiário. </w:t>
      </w:r>
    </w:p>
    <w:p w:rsidR="00335865" w:rsidRDefault="0014121B">
      <w:pPr>
        <w:pStyle w:val="ProductList-Body"/>
        <w:spacing w:after="120"/>
        <w:rPr>
          <w:lang w:val="pt-BR"/>
        </w:rPr>
      </w:pPr>
      <w:r>
        <w:rPr>
          <w:rFonts w:ascii="Calibri" w:eastAsia="Calibri" w:hAnsi="Calibri" w:cs="Arial"/>
          <w:szCs w:val="18"/>
          <w:lang w:val="pt-BR"/>
        </w:rP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rPr>
          <w:rFonts w:ascii="Calibri" w:eastAsia="Calibri" w:hAnsi="Calibri" w:cs="Arial"/>
          <w:szCs w:val="18"/>
          <w:lang w:val="pt-BR"/>
        </w:rP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a referida entidade. </w:t>
      </w:r>
    </w:p>
    <w:p w:rsidR="00335865" w:rsidRDefault="0014121B">
      <w:pPr>
        <w:pStyle w:val="ProductList-Body"/>
        <w:spacing w:after="120"/>
        <w:rPr>
          <w:lang w:val="pt-BR"/>
        </w:rPr>
      </w:pPr>
      <w:r>
        <w:rPr>
          <w:rFonts w:ascii="Calibri" w:eastAsia="Calibri" w:hAnsi="Calibri" w:cs="Arial"/>
          <w:szCs w:val="18"/>
          <w:lang w:val="pt-BR"/>
        </w:rP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A responsabilidade do terceiro do subprocessador deverá se limitar às suas próprias operações de processamento de acordo com as Cláusulas. </w:t>
      </w:r>
    </w:p>
    <w:p w:rsidR="00335865" w:rsidRDefault="0014121B">
      <w:pPr>
        <w:pStyle w:val="ProductList-Body"/>
        <w:rPr>
          <w:lang w:val="pt-BR"/>
        </w:rPr>
      </w:pPr>
      <w:r>
        <w:rPr>
          <w:rFonts w:ascii="Calibri" w:eastAsia="Calibri" w:hAnsi="Calibri" w:cs="Arial"/>
          <w:szCs w:val="18"/>
          <w:lang w:val="pt-BR"/>
        </w:rPr>
        <w:t xml:space="preserve">4. As partes não se opõem ao titular dos dados que está sendo representado por uma associação ou outro órgão se o titular dos dados assim o desejar expressamente e se for permitido pela lei nacional. </w:t>
      </w:r>
    </w:p>
    <w:p w:rsidR="00335865" w:rsidRDefault="00335865">
      <w:pPr>
        <w:pStyle w:val="ProductList-Body"/>
        <w:rPr>
          <w:lang w:val="pt-BR"/>
        </w:rPr>
      </w:pPr>
    </w:p>
    <w:p w:rsidR="00335865" w:rsidRDefault="0014121B">
      <w:pPr>
        <w:rPr>
          <w:b/>
          <w:sz w:val="18"/>
          <w:lang w:val="pt-BR"/>
        </w:rPr>
      </w:pPr>
      <w:r>
        <w:rPr>
          <w:b/>
          <w:lang w:val="pt-BR"/>
        </w:rPr>
        <w:br w:type="page"/>
      </w:r>
    </w:p>
    <w:p w:rsidR="00335865" w:rsidRDefault="0014121B">
      <w:pPr>
        <w:pStyle w:val="ProductList-Body"/>
        <w:keepNext/>
        <w:jc w:val="center"/>
        <w:outlineLvl w:val="1"/>
        <w:rPr>
          <w:b/>
          <w:lang w:val="pt-BR"/>
        </w:rPr>
      </w:pPr>
      <w:r>
        <w:rPr>
          <w:rFonts w:ascii="Calibri" w:eastAsia="Calibri" w:hAnsi="Calibri" w:cs="Arial"/>
          <w:b/>
          <w:szCs w:val="18"/>
          <w:lang w:val="pt-BR"/>
        </w:rPr>
        <w:lastRenderedPageBreak/>
        <w:t>Cláusula 4: Obrigações do exportador de dados</w:t>
      </w:r>
    </w:p>
    <w:p w:rsidR="00335865" w:rsidRDefault="00335865">
      <w:pPr>
        <w:pStyle w:val="ProductList-Body"/>
        <w:keepNext/>
        <w:rPr>
          <w:lang w:val="pt-BR"/>
        </w:rPr>
      </w:pPr>
    </w:p>
    <w:p w:rsidR="00335865" w:rsidRDefault="0014121B">
      <w:pPr>
        <w:pStyle w:val="ProductList-Body"/>
        <w:keepNext/>
        <w:rPr>
          <w:lang w:val="pt-BR"/>
        </w:rPr>
      </w:pPr>
      <w:r>
        <w:rPr>
          <w:rFonts w:ascii="Calibri" w:eastAsia="Calibri" w:hAnsi="Calibri" w:cs="Arial"/>
          <w:szCs w:val="18"/>
          <w:lang w:val="pt-BR"/>
        </w:rPr>
        <w:t xml:space="preserve">O exportador de dados concorda e garante: </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(a)que o processamento, inclusive a transferência em si, de dados pessoais foi e continuará sendo realizada de acordo com as disposições relevantes da lei de proteção de dados aplicáveis (e, se aplicável, foi notificado às autoridades relevantes do Estado Membro no qual o exportador de dados está estabelecido) e não está em violação das disposições relevantes desse Estado; </w:t>
      </w:r>
    </w:p>
    <w:p w:rsidR="00335865" w:rsidRDefault="0014121B">
      <w:pPr>
        <w:pStyle w:val="ProductList-Body"/>
        <w:spacing w:after="120"/>
        <w:rPr>
          <w:lang w:val="pt-BR"/>
        </w:rPr>
      </w:pPr>
      <w:r>
        <w:rPr>
          <w:rFonts w:ascii="Calibri" w:eastAsia="Calibri" w:hAnsi="Calibri" w:cs="Arial"/>
          <w:szCs w:val="18"/>
          <w:lang w:val="pt-BR"/>
        </w:rP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rsidR="00335865" w:rsidRDefault="0014121B">
      <w:pPr>
        <w:pStyle w:val="ProductList-Body"/>
        <w:spacing w:after="120"/>
        <w:rPr>
          <w:lang w:val="pt-BR"/>
        </w:rPr>
      </w:pPr>
      <w:r>
        <w:rPr>
          <w:rFonts w:ascii="Calibri" w:eastAsia="Calibri" w:hAnsi="Calibri" w:cs="Arial"/>
          <w:szCs w:val="18"/>
          <w:lang w:val="pt-BR"/>
        </w:rPr>
        <w:t xml:space="preserve">(c) que o importador de dados fornecerá garantias suficientes em relação às medidas de segurança técnicas e organizacionais especificadas no Apêndice 2 abaixo;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(d)</w:t>
      </w:r>
      <w:r>
        <w:rPr>
          <w:rFonts w:ascii="Calibri" w:eastAsia="Calibri" w:hAnsi="Calibri" w:cs="Arial"/>
          <w:szCs w:val="18"/>
          <w:lang w:val="pt-BR"/>
        </w:rPr>
        <w:tab/>
        <w:t xml:space="preserve">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(e)</w:t>
      </w:r>
      <w:r>
        <w:rPr>
          <w:rFonts w:ascii="Calibri" w:eastAsia="Calibri" w:hAnsi="Calibri" w:cs="Arial"/>
          <w:szCs w:val="18"/>
          <w:lang w:val="pt-BR"/>
        </w:rPr>
        <w:tab/>
        <w:t xml:space="preserve">que garantirá a conformidade com as medidas de segurança;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(g)</w:t>
      </w:r>
      <w:r>
        <w:rPr>
          <w:rFonts w:ascii="Calibri" w:eastAsia="Calibri" w:hAnsi="Calibri" w:cs="Arial"/>
          <w:szCs w:val="18"/>
          <w:lang w:val="pt-BR"/>
        </w:rPr>
        <w:tab/>
        <w:t xml:space="preserve">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rsidR="00335865" w:rsidRDefault="0014121B">
      <w:pPr>
        <w:pStyle w:val="ProductList-Body"/>
        <w:spacing w:after="120"/>
        <w:rPr>
          <w:lang w:val="pt-BR"/>
        </w:rPr>
      </w:pPr>
      <w:r>
        <w:rPr>
          <w:rFonts w:ascii="Calibri" w:eastAsia="Calibri" w:hAnsi="Calibri" w:cs="Arial"/>
          <w:szCs w:val="18"/>
          <w:lang w:val="pt-BR"/>
        </w:rPr>
        <w:t xml:space="preserve">(h)disponibilizar aos titulares dos dados, mediante solicitação, uma cópia das Cláusulas com exceção do Apêndice 2, e uma descrição resumida das medidas de segurança, assim como uma cópia de qualquer contrato para serviços de subprocessamento que tenham que ser feitos de acordo com as Cláusulas, a menos que as Cláusulas ou o contrato contenham informações comerciais, caso em que ele pode remover essas informações comerciais; </w:t>
      </w:r>
    </w:p>
    <w:p w:rsidR="00335865" w:rsidRDefault="0014121B">
      <w:pPr>
        <w:pStyle w:val="ProductList-Body"/>
        <w:spacing w:after="120"/>
        <w:rPr>
          <w:lang w:val="pt-BR"/>
        </w:rPr>
      </w:pPr>
      <w:r>
        <w:rPr>
          <w:rFonts w:ascii="Calibri" w:eastAsia="Calibri" w:hAnsi="Calibri" w:cs="Arial"/>
          <w:szCs w:val="18"/>
          <w:lang w:val="pt-BR"/>
        </w:rPr>
        <w:t>(i)</w:t>
      </w:r>
      <w:r>
        <w:rPr>
          <w:rFonts w:ascii="Calibri" w:eastAsia="Calibri" w:hAnsi="Calibri" w:cs="Arial"/>
          <w:szCs w:val="18"/>
          <w:lang w:val="pt-BR"/>
        </w:rPr>
        <w:tab/>
        <w:t xml:space="preserve">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rsidR="00335865" w:rsidRDefault="0014121B">
      <w:pPr>
        <w:pStyle w:val="ProductList-Body"/>
        <w:rPr>
          <w:lang w:val="pt-BR"/>
        </w:rPr>
      </w:pPr>
      <w:r>
        <w:rPr>
          <w:rFonts w:ascii="Calibri" w:eastAsia="Calibri" w:hAnsi="Calibri" w:cs="Arial"/>
          <w:szCs w:val="18"/>
          <w:lang w:val="pt-BR"/>
        </w:rPr>
        <w:t>(j)</w:t>
      </w:r>
      <w:r>
        <w:rPr>
          <w:rFonts w:ascii="Calibri" w:eastAsia="Calibri" w:hAnsi="Calibri" w:cs="Arial"/>
          <w:szCs w:val="18"/>
          <w:lang w:val="pt-BR"/>
        </w:rPr>
        <w:tab/>
        <w:t>que garantirá a conformidade com as Cláusulas 4(a) até (i).</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5: Obrigações do importador de dados</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 xml:space="preserve">O importador de dados concorda e garante: </w:t>
      </w:r>
    </w:p>
    <w:p w:rsidR="00335865" w:rsidRDefault="00335865">
      <w:pPr>
        <w:pStyle w:val="ProductList-Body"/>
        <w:rPr>
          <w:lang w:val="pt-BR"/>
        </w:rPr>
      </w:pPr>
    </w:p>
    <w:p w:rsidR="00335865" w:rsidRDefault="0014121B">
      <w:pPr>
        <w:pStyle w:val="ProductList-Body"/>
        <w:tabs>
          <w:tab w:val="clear" w:pos="158"/>
          <w:tab w:val="left" w:pos="360"/>
        </w:tabs>
        <w:spacing w:after="120"/>
        <w:rPr>
          <w:lang w:val="pt-BR"/>
        </w:rPr>
      </w:pPr>
      <w:r>
        <w:rPr>
          <w:rFonts w:ascii="Calibri" w:eastAsia="Calibri" w:hAnsi="Calibri" w:cs="Arial"/>
          <w:szCs w:val="18"/>
          <w:lang w:val="pt-BR"/>
        </w:rPr>
        <w:t>(a)</w:t>
      </w:r>
      <w:r>
        <w:rPr>
          <w:rFonts w:ascii="Calibri" w:eastAsia="Calibri" w:hAnsi="Calibri" w:cs="Arial"/>
          <w:szCs w:val="18"/>
          <w:lang w:val="pt-BR"/>
        </w:rPr>
        <w:tab/>
        <w:t xml:space="preserve">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rsidR="00335865" w:rsidRDefault="0014121B">
      <w:pPr>
        <w:pStyle w:val="ProductList-Body"/>
        <w:tabs>
          <w:tab w:val="clear" w:pos="158"/>
          <w:tab w:val="left" w:pos="360"/>
        </w:tabs>
        <w:spacing w:after="120"/>
        <w:rPr>
          <w:lang w:val="pt-BR"/>
        </w:rPr>
      </w:pPr>
      <w:r>
        <w:rPr>
          <w:rFonts w:ascii="Calibri" w:eastAsia="Calibri" w:hAnsi="Calibri" w:cs="Arial"/>
          <w:szCs w:val="18"/>
          <w:lang w:val="pt-BR"/>
        </w:rPr>
        <w:t>(b)</w:t>
      </w:r>
      <w:r>
        <w:rPr>
          <w:rFonts w:ascii="Calibri" w:eastAsia="Calibri" w:hAnsi="Calibri" w:cs="Arial"/>
          <w:szCs w:val="18"/>
          <w:lang w:val="pt-BR"/>
        </w:rPr>
        <w:tab/>
        <w:t xml:space="preserve">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rsidR="00335865" w:rsidRDefault="0014121B">
      <w:pPr>
        <w:pStyle w:val="ProductList-Body"/>
        <w:tabs>
          <w:tab w:val="clear" w:pos="158"/>
          <w:tab w:val="left" w:pos="360"/>
        </w:tabs>
        <w:spacing w:after="120"/>
        <w:rPr>
          <w:lang w:val="pt-BR"/>
        </w:rPr>
      </w:pPr>
      <w:r>
        <w:rPr>
          <w:rFonts w:ascii="Calibri" w:eastAsia="Calibri" w:hAnsi="Calibri" w:cs="Arial"/>
          <w:szCs w:val="18"/>
          <w:lang w:val="pt-BR"/>
        </w:rPr>
        <w:t>(c)</w:t>
      </w:r>
      <w:r>
        <w:rPr>
          <w:rFonts w:ascii="Calibri" w:eastAsia="Calibri" w:hAnsi="Calibri" w:cs="Arial"/>
          <w:szCs w:val="18"/>
          <w:lang w:val="pt-BR"/>
        </w:rPr>
        <w:tab/>
        <w:t xml:space="preserve">que ele implementou as medidas de segurança técnicas e organizacionais especificadas no Apêndice 2 abaixo antes de processar os dados pessoais transferidos; </w:t>
      </w:r>
    </w:p>
    <w:p w:rsidR="00335865" w:rsidRDefault="0014121B">
      <w:pPr>
        <w:pStyle w:val="ProductList-Body"/>
        <w:tabs>
          <w:tab w:val="clear" w:pos="158"/>
          <w:tab w:val="left" w:pos="360"/>
        </w:tabs>
        <w:rPr>
          <w:lang w:val="pt-BR"/>
        </w:rPr>
      </w:pPr>
      <w:r>
        <w:rPr>
          <w:rFonts w:ascii="Calibri" w:eastAsia="Calibri" w:hAnsi="Calibri" w:cs="Arial"/>
          <w:szCs w:val="18"/>
          <w:lang w:val="pt-BR"/>
        </w:rPr>
        <w:t>(d)</w:t>
      </w:r>
      <w:r>
        <w:rPr>
          <w:rFonts w:ascii="Calibri" w:eastAsia="Calibri" w:hAnsi="Calibri" w:cs="Arial"/>
          <w:szCs w:val="18"/>
          <w:lang w:val="pt-BR"/>
        </w:rPr>
        <w:tab/>
        <w:t xml:space="preserve">que ele notificará imediatamente o exportador de dados sobre: </w:t>
      </w:r>
    </w:p>
    <w:p w:rsidR="00335865" w:rsidRDefault="0014121B">
      <w:pPr>
        <w:pStyle w:val="ProductList-Body"/>
        <w:tabs>
          <w:tab w:val="clear" w:pos="158"/>
          <w:tab w:val="left" w:pos="630"/>
        </w:tabs>
        <w:spacing w:after="60"/>
        <w:ind w:left="360"/>
        <w:rPr>
          <w:lang w:val="pt-BR"/>
        </w:rPr>
      </w:pPr>
      <w:r>
        <w:rPr>
          <w:rFonts w:ascii="Calibri" w:eastAsia="Calibri" w:hAnsi="Calibri" w:cs="Arial"/>
          <w:szCs w:val="18"/>
          <w:lang w:val="pt-BR"/>
        </w:rPr>
        <w:t>(i)</w:t>
      </w:r>
      <w:r>
        <w:rPr>
          <w:rFonts w:ascii="Calibri" w:eastAsia="Calibri" w:hAnsi="Calibri" w:cs="Arial"/>
          <w:szCs w:val="18"/>
          <w:lang w:val="pt-BR"/>
        </w:rPr>
        <w:tab/>
        <w:t xml:space="preserve">qualquer solicitação de vínculo legal para divulgação de dados pessoais por uma autoridade de imposição da lei a menos que seja proibido, como uma proibição sob lei criminal para preservar a confidencialidade de uma investigação de imposição da lei, </w:t>
      </w:r>
    </w:p>
    <w:p w:rsidR="00335865" w:rsidRDefault="0014121B">
      <w:pPr>
        <w:pStyle w:val="ProductList-Body"/>
        <w:tabs>
          <w:tab w:val="clear" w:pos="158"/>
          <w:tab w:val="left" w:pos="630"/>
        </w:tabs>
        <w:spacing w:after="60"/>
        <w:ind w:left="360"/>
        <w:rPr>
          <w:lang w:val="pt-BR"/>
        </w:rPr>
      </w:pPr>
      <w:r>
        <w:rPr>
          <w:rFonts w:ascii="Calibri" w:eastAsia="Calibri" w:hAnsi="Calibri" w:cs="Arial"/>
          <w:szCs w:val="18"/>
          <w:lang w:val="pt-BR"/>
        </w:rPr>
        <w:t>(ii)</w:t>
      </w:r>
      <w:r>
        <w:rPr>
          <w:rFonts w:ascii="Calibri" w:eastAsia="Calibri" w:hAnsi="Calibri" w:cs="Arial"/>
          <w:szCs w:val="18"/>
          <w:lang w:val="pt-BR"/>
        </w:rPr>
        <w:tab/>
        <w:t xml:space="preserve">qualquer acesso acidental ou não autorizado e </w:t>
      </w:r>
    </w:p>
    <w:p w:rsidR="00335865" w:rsidRDefault="0014121B">
      <w:pPr>
        <w:pStyle w:val="ProductList-Body"/>
        <w:tabs>
          <w:tab w:val="clear" w:pos="158"/>
          <w:tab w:val="left" w:pos="630"/>
        </w:tabs>
        <w:spacing w:after="120"/>
        <w:ind w:left="360"/>
        <w:rPr>
          <w:lang w:val="pt-BR"/>
        </w:rPr>
      </w:pPr>
      <w:r>
        <w:rPr>
          <w:rFonts w:ascii="Calibri" w:eastAsia="Calibri" w:hAnsi="Calibri" w:cs="Arial"/>
          <w:szCs w:val="18"/>
          <w:lang w:val="pt-BR"/>
        </w:rPr>
        <w:t xml:space="preserve">(iii)qualquer solicitação recebida diretamente dos titulares dos dados sem responder àquela solicitação, a menos que tenha sido autorizado de outra forma a fazer isso;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(e)</w:t>
      </w:r>
      <w:r>
        <w:rPr>
          <w:rFonts w:ascii="Calibri" w:eastAsia="Calibri" w:hAnsi="Calibri" w:cs="Arial"/>
          <w:szCs w:val="18"/>
          <w:lang w:val="pt-BR"/>
        </w:rPr>
        <w:tab/>
        <w:t xml:space="preserve">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(g)</w:t>
      </w:r>
      <w:r>
        <w:rPr>
          <w:rFonts w:ascii="Calibri" w:eastAsia="Calibri" w:hAnsi="Calibri" w:cs="Arial"/>
          <w:szCs w:val="18"/>
          <w:lang w:val="pt-BR"/>
        </w:rPr>
        <w:tab/>
        <w:t xml:space="preserve">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rsidR="00335865" w:rsidRDefault="0014121B">
      <w:pPr>
        <w:pStyle w:val="ProductList-Body"/>
        <w:tabs>
          <w:tab w:val="clear" w:pos="158"/>
          <w:tab w:val="left" w:pos="270"/>
        </w:tabs>
        <w:spacing w:after="120"/>
        <w:rPr>
          <w:lang w:val="pt-BR"/>
        </w:rPr>
      </w:pPr>
      <w:r>
        <w:rPr>
          <w:rFonts w:ascii="Calibri" w:eastAsia="Calibri" w:hAnsi="Calibri" w:cs="Arial"/>
          <w:szCs w:val="18"/>
          <w:lang w:val="pt-BR"/>
        </w:rPr>
        <w:t>(h)</w:t>
      </w:r>
      <w:r>
        <w:rPr>
          <w:rFonts w:ascii="Calibri" w:eastAsia="Calibri" w:hAnsi="Calibri" w:cs="Arial"/>
          <w:szCs w:val="18"/>
          <w:lang w:val="pt-BR"/>
        </w:rPr>
        <w:tab/>
        <w:t xml:space="preserve">que, no caso de subprocessamento, ele informou previamente o exportador de dados e obteve sua autorização prévia por escrito; </w:t>
      </w:r>
    </w:p>
    <w:p w:rsidR="00335865" w:rsidRDefault="0014121B">
      <w:pPr>
        <w:pStyle w:val="ProductList-Body"/>
        <w:spacing w:after="120"/>
        <w:rPr>
          <w:lang w:val="pt-BR"/>
        </w:rPr>
      </w:pPr>
      <w:r>
        <w:rPr>
          <w:rFonts w:ascii="Calibri" w:eastAsia="Calibri" w:hAnsi="Calibri" w:cs="Arial"/>
          <w:szCs w:val="18"/>
          <w:lang w:val="pt-BR"/>
        </w:rPr>
        <w:t>(i) que os serviços de processamento pelo subprocessador serão realizados de acordo com a Cláusula 11 e</w:t>
      </w:r>
    </w:p>
    <w:p w:rsidR="00335865" w:rsidRDefault="0014121B">
      <w:pPr>
        <w:pStyle w:val="ProductList-Body"/>
        <w:rPr>
          <w:lang w:val="pt-BR"/>
        </w:rPr>
      </w:pPr>
      <w:r>
        <w:rPr>
          <w:rFonts w:ascii="Calibri" w:eastAsia="Calibri" w:hAnsi="Calibri" w:cs="Arial"/>
          <w:szCs w:val="18"/>
          <w:lang w:val="pt-BR"/>
        </w:rPr>
        <w:t>(j)</w:t>
      </w:r>
      <w:r>
        <w:rPr>
          <w:rFonts w:ascii="Calibri" w:eastAsia="Calibri" w:hAnsi="Calibri" w:cs="Arial"/>
          <w:szCs w:val="18"/>
          <w:lang w:val="pt-BR"/>
        </w:rPr>
        <w:tab/>
        <w:t>enviar imediatamente ao exportador de dados uma cópia de qualquer contrato do subprocessador indicando as conclusões.</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6: Responsabilidade</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rsidR="00335865" w:rsidRDefault="0014121B">
      <w:pPr>
        <w:pStyle w:val="ProductList-Body"/>
        <w:spacing w:after="120"/>
        <w:rPr>
          <w:lang w:val="pt-BR"/>
        </w:rPr>
      </w:pPr>
      <w:r>
        <w:rPr>
          <w:rFonts w:ascii="Calibri" w:eastAsia="Calibri" w:hAnsi="Calibri" w:cs="Arial"/>
          <w:szCs w:val="18"/>
          <w:lang w:val="pt-BR"/>
        </w:rP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a referida entidade. </w:t>
      </w:r>
    </w:p>
    <w:p w:rsidR="00335865" w:rsidRDefault="0014121B">
      <w:pPr>
        <w:pStyle w:val="ProductList-Body"/>
        <w:spacing w:after="120"/>
        <w:rPr>
          <w:lang w:val="pt-BR"/>
        </w:rPr>
      </w:pPr>
      <w:r>
        <w:rPr>
          <w:rFonts w:ascii="Calibri" w:eastAsia="Calibri" w:hAnsi="Calibri" w:cs="Arial"/>
          <w:szCs w:val="18"/>
          <w:lang w:val="pt-BR"/>
        </w:rPr>
        <w:t xml:space="preserve">O importador de dados não pode se basear em uma violação por um subprocessador de suas obrigações a fim de evitar suas próprias responsabilidades. </w:t>
      </w:r>
    </w:p>
    <w:p w:rsidR="00335865" w:rsidRDefault="0014121B">
      <w:pPr>
        <w:pStyle w:val="ProductList-Body"/>
        <w:rPr>
          <w:lang w:val="pt-BR"/>
        </w:rPr>
      </w:pPr>
      <w:r>
        <w:rPr>
          <w:rFonts w:ascii="Calibri" w:eastAsia="Calibri" w:hAnsi="Calibri" w:cs="Arial"/>
          <w:szCs w:val="18"/>
          <w:lang w:val="pt-BR"/>
        </w:rP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a referida entidade. A responsabilidade do subprocessador deverá se limitar às suas próprias operações de processamento de acordo com as Cláusulas.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7: Mediação e jurisdição</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rsidR="00335865" w:rsidRDefault="0014121B">
      <w:pPr>
        <w:pStyle w:val="ProductList-Body"/>
        <w:spacing w:after="60"/>
        <w:ind w:left="360"/>
        <w:rPr>
          <w:lang w:val="pt-BR"/>
        </w:rPr>
      </w:pPr>
      <w:r>
        <w:rPr>
          <w:rFonts w:ascii="Calibri" w:eastAsia="Calibri" w:hAnsi="Calibri" w:cs="Arial"/>
          <w:szCs w:val="18"/>
          <w:lang w:val="pt-BR"/>
        </w:rPr>
        <w:t>(a)</w:t>
      </w:r>
      <w:r>
        <w:rPr>
          <w:rFonts w:ascii="Calibri" w:eastAsia="Calibri" w:hAnsi="Calibri" w:cs="Arial"/>
          <w:szCs w:val="18"/>
          <w:lang w:val="pt-BR"/>
        </w:rPr>
        <w:tab/>
        <w:t xml:space="preserve">enviar a disputa para mediação, por uma pessoa independente ou, onde aplicável, pela autoridade de supervisão; </w:t>
      </w:r>
    </w:p>
    <w:p w:rsidR="00335865" w:rsidRDefault="0014121B">
      <w:pPr>
        <w:pStyle w:val="ProductList-Body"/>
        <w:spacing w:after="120"/>
        <w:ind w:left="360"/>
        <w:rPr>
          <w:lang w:val="pt-BR"/>
        </w:rPr>
      </w:pPr>
      <w:r>
        <w:rPr>
          <w:rFonts w:ascii="Calibri" w:eastAsia="Calibri" w:hAnsi="Calibri" w:cs="Arial"/>
          <w:szCs w:val="18"/>
          <w:lang w:val="pt-BR"/>
        </w:rPr>
        <w:t>(b)</w:t>
      </w:r>
      <w:r>
        <w:rPr>
          <w:rFonts w:ascii="Calibri" w:eastAsia="Calibri" w:hAnsi="Calibri" w:cs="Arial"/>
          <w:szCs w:val="18"/>
          <w:lang w:val="pt-BR"/>
        </w:rPr>
        <w:tab/>
        <w:t xml:space="preserve">enviar a disputa aos tribunais no Estado Membro no qual o exportador de dados está sediado. </w:t>
      </w:r>
    </w:p>
    <w:p w:rsidR="00335865" w:rsidRDefault="0014121B">
      <w:pPr>
        <w:pStyle w:val="ProductList-Body"/>
        <w:rPr>
          <w:lang w:val="pt-BR"/>
        </w:rPr>
      </w:pPr>
      <w:r>
        <w:rPr>
          <w:rFonts w:ascii="Calibri" w:eastAsia="Calibri" w:hAnsi="Calibri" w:cs="Arial"/>
          <w:szCs w:val="18"/>
          <w:lang w:val="pt-BR"/>
        </w:rPr>
        <w:t xml:space="preserve">2. As partes concordam que a escolha feita pelo titular dos dados não prejudicará seus direitos reais ou processuais em procurar recursos de acordo com as outras provisões da lei nacional ou internacional.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8: Cooperação com autoridades de supervisão</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O exportador de dados concorda em depositar uma cópia deste contrato com a autoridade de supervisão de forma que ele solicite ou se tal depósito for exigido de acordo com a lei de proteção de dados aplicável. </w:t>
      </w:r>
    </w:p>
    <w:p w:rsidR="00335865" w:rsidRDefault="0014121B">
      <w:pPr>
        <w:pStyle w:val="ProductList-Body"/>
        <w:spacing w:after="120"/>
        <w:rPr>
          <w:lang w:val="pt-BR"/>
        </w:rPr>
      </w:pPr>
      <w:r>
        <w:rPr>
          <w:rFonts w:ascii="Calibri" w:eastAsia="Calibri" w:hAnsi="Calibri" w:cs="Arial"/>
          <w:szCs w:val="18"/>
          <w:lang w:val="pt-BR"/>
        </w:rP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rsidR="00335865" w:rsidRDefault="0014121B">
      <w:pPr>
        <w:pStyle w:val="ProductList-Body"/>
        <w:rPr>
          <w:lang w:val="pt-BR"/>
        </w:rPr>
      </w:pPr>
      <w:r>
        <w:rPr>
          <w:rFonts w:ascii="Calibri" w:eastAsia="Calibri" w:hAnsi="Calibri" w:cs="Arial"/>
          <w:szCs w:val="18"/>
          <w:lang w:val="pt-BR"/>
        </w:rP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Nesse caso, o exportador de dados terá o direito de tomar as medidas previstas na Cláusula 5 (b).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lastRenderedPageBreak/>
        <w:t>Cláusula 9: Legislação Reguladora</w:t>
      </w:r>
    </w:p>
    <w:p w:rsidR="00335865" w:rsidRDefault="00335865">
      <w:pPr>
        <w:pStyle w:val="ProductList-Body"/>
        <w:rPr>
          <w:lang w:val="pt-BR"/>
        </w:rPr>
      </w:pPr>
    </w:p>
    <w:p w:rsidR="00335865" w:rsidRDefault="0014121B">
      <w:pPr>
        <w:pStyle w:val="ProductList-Body"/>
        <w:rPr>
          <w:lang w:val="pt-BR"/>
        </w:rPr>
      </w:pPr>
      <w:r>
        <w:rPr>
          <w:rFonts w:ascii="Calibri" w:eastAsia="Calibri" w:hAnsi="Calibri" w:cs="Arial"/>
          <w:szCs w:val="18"/>
          <w:lang w:val="pt-BR"/>
        </w:rPr>
        <w:t xml:space="preserve">As Cláusulas deverão ser regidas pela lei do Estado Membro no qual o exportador de dados está sediado. </w:t>
      </w:r>
    </w:p>
    <w:p w:rsidR="00335865" w:rsidRDefault="00335865">
      <w:pPr>
        <w:pStyle w:val="ProductList-Body"/>
        <w:rPr>
          <w:lang w:val="pt-BR"/>
        </w:rPr>
      </w:pPr>
    </w:p>
    <w:p w:rsidR="00335865" w:rsidRDefault="0014121B">
      <w:pPr>
        <w:pStyle w:val="ProductList-Body"/>
        <w:keepNext/>
        <w:jc w:val="center"/>
        <w:outlineLvl w:val="1"/>
        <w:rPr>
          <w:b/>
          <w:lang w:val="pt-BR"/>
        </w:rPr>
      </w:pPr>
      <w:r>
        <w:rPr>
          <w:rFonts w:ascii="Calibri" w:eastAsia="Calibri" w:hAnsi="Calibri" w:cs="Arial"/>
          <w:b/>
          <w:szCs w:val="18"/>
          <w:lang w:val="pt-BR"/>
        </w:rPr>
        <w:t>Cláusula 10: Variação do contrato</w:t>
      </w:r>
    </w:p>
    <w:p w:rsidR="00335865" w:rsidRDefault="00335865">
      <w:pPr>
        <w:pStyle w:val="ProductList-Body"/>
        <w:keepNext/>
        <w:rPr>
          <w:lang w:val="pt-BR"/>
        </w:rPr>
      </w:pPr>
    </w:p>
    <w:p w:rsidR="00335865" w:rsidRDefault="0014121B">
      <w:pPr>
        <w:pStyle w:val="ProductList-Body"/>
        <w:rPr>
          <w:lang w:val="pt-BR"/>
        </w:rPr>
      </w:pPr>
      <w:r>
        <w:rPr>
          <w:rFonts w:ascii="Calibri" w:eastAsia="Calibri" w:hAnsi="Calibri" w:cs="Arial"/>
          <w:szCs w:val="18"/>
          <w:lang w:val="pt-BR"/>
        </w:rPr>
        <w:t xml:space="preserve">As partes prometem não variar nem modificar as Cláusulas. Isso não impede que as partes adicionem as cláusulas nas questões comerciais, onde exigido, contanto que elas não contradigam a Cláusula. </w:t>
      </w:r>
    </w:p>
    <w:p w:rsidR="00335865" w:rsidRDefault="00335865">
      <w:pPr>
        <w:pStyle w:val="ProductList-Body"/>
        <w:rPr>
          <w:b/>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11: Subprocessamento</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rsidR="00335865" w:rsidRDefault="0014121B">
      <w:pPr>
        <w:pStyle w:val="ProductList-Body"/>
        <w:spacing w:after="120"/>
        <w:rPr>
          <w:lang w:val="pt-BR"/>
        </w:rPr>
      </w:pPr>
      <w:r>
        <w:rPr>
          <w:rFonts w:ascii="Calibri" w:eastAsia="Calibri" w:hAnsi="Calibri" w:cs="Arial"/>
          <w:szCs w:val="18"/>
          <w:lang w:val="pt-BR"/>
        </w:rP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rsidR="00335865" w:rsidRDefault="0014121B">
      <w:pPr>
        <w:pStyle w:val="ProductList-Body"/>
        <w:spacing w:after="120"/>
        <w:rPr>
          <w:lang w:val="pt-BR"/>
        </w:rPr>
      </w:pPr>
      <w:r>
        <w:rPr>
          <w:rFonts w:ascii="Calibri" w:eastAsia="Calibri" w:hAnsi="Calibri" w:cs="Arial"/>
          <w:szCs w:val="18"/>
          <w:lang w:val="pt-BR"/>
        </w:rPr>
        <w:t xml:space="preserve">3. As disposições relativas aos aspectos de proteção de dados para o subprocessamento do contrato mencionado no parágrafo 1 deverão ser regidas pela lei do Estado Membro no qual o exportador de dados está estabelecido. </w:t>
      </w:r>
    </w:p>
    <w:p w:rsidR="00335865" w:rsidRDefault="0014121B">
      <w:pPr>
        <w:pStyle w:val="ProductList-Body"/>
        <w:rPr>
          <w:lang w:val="pt-BR"/>
        </w:rPr>
      </w:pPr>
      <w:r>
        <w:rPr>
          <w:rFonts w:ascii="Calibri" w:eastAsia="Calibri" w:hAnsi="Calibri" w:cs="Arial"/>
          <w:szCs w:val="18"/>
          <w:lang w:val="pt-BR"/>
        </w:rP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rsidR="00335865" w:rsidRDefault="00335865">
      <w:pPr>
        <w:pStyle w:val="ProductList-Body"/>
        <w:rPr>
          <w:lang w:val="pt-BR"/>
        </w:rPr>
      </w:pPr>
    </w:p>
    <w:p w:rsidR="00335865" w:rsidRDefault="0014121B">
      <w:pPr>
        <w:pStyle w:val="ProductList-Body"/>
        <w:jc w:val="center"/>
        <w:outlineLvl w:val="1"/>
        <w:rPr>
          <w:b/>
          <w:lang w:val="pt-BR"/>
        </w:rPr>
      </w:pPr>
      <w:r>
        <w:rPr>
          <w:rFonts w:ascii="Calibri" w:eastAsia="Calibri" w:hAnsi="Calibri" w:cs="Arial"/>
          <w:b/>
          <w:szCs w:val="18"/>
          <w:lang w:val="pt-BR"/>
        </w:rPr>
        <w:t>Cláusula 12: Obrigação depois da rescisão dos serviços de processamento de dados pessoais</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 xml:space="preserve">1. As partes concordam que mediante a rescisão da prestação de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rsidR="00335865" w:rsidRDefault="0014121B">
      <w:pPr>
        <w:pStyle w:val="ProductList-Body"/>
        <w:rPr>
          <w:lang w:val="pt-BR"/>
        </w:rPr>
      </w:pPr>
      <w:r>
        <w:rPr>
          <w:rFonts w:ascii="Calibri" w:eastAsia="Calibri" w:hAnsi="Calibri" w:cs="Arial"/>
          <w:szCs w:val="18"/>
          <w:lang w:val="pt-BR"/>
        </w:rP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rsidR="00335865" w:rsidRDefault="00335865">
      <w:pPr>
        <w:pStyle w:val="ProductList-Body"/>
        <w:rPr>
          <w:lang w:val="pt-BR"/>
        </w:rPr>
      </w:pPr>
    </w:p>
    <w:p w:rsidR="00335865" w:rsidRDefault="0014121B">
      <w:pPr>
        <w:pStyle w:val="ProductList-Body"/>
        <w:outlineLvl w:val="1"/>
        <w:rPr>
          <w:b/>
          <w:lang w:val="pt-BR"/>
        </w:rPr>
      </w:pPr>
      <w:r>
        <w:rPr>
          <w:rFonts w:ascii="Calibri" w:eastAsia="Calibri" w:hAnsi="Calibri" w:cs="Arial"/>
          <w:b/>
          <w:szCs w:val="18"/>
          <w:lang w:val="pt-BR"/>
        </w:rPr>
        <w:t>Apêndice 1 às Cláusulas Contratuais Padrão para os Serviços de Consultoria prestados pelo Global Delivery Índia</w:t>
      </w:r>
    </w:p>
    <w:p w:rsidR="00335865" w:rsidRDefault="00335865">
      <w:pPr>
        <w:pStyle w:val="ProductList-Body"/>
        <w:rPr>
          <w:lang w:val="pt-BR"/>
        </w:rPr>
      </w:pPr>
    </w:p>
    <w:p w:rsidR="00335865" w:rsidRDefault="0014121B">
      <w:pPr>
        <w:pStyle w:val="ProductList-Body"/>
        <w:spacing w:after="120"/>
        <w:rPr>
          <w:rFonts w:cstheme="minorHAnsi"/>
          <w:spacing w:val="-1"/>
          <w:lang w:val="pt-BR"/>
        </w:rPr>
      </w:pPr>
      <w:r>
        <w:rPr>
          <w:rFonts w:ascii="Calibri" w:eastAsia="Calibri" w:hAnsi="Calibri" w:cs="Arial"/>
          <w:b/>
          <w:szCs w:val="18"/>
          <w:lang w:val="pt-BR"/>
        </w:rPr>
        <w:t>Exportador de dados</w:t>
      </w:r>
      <w:r>
        <w:rPr>
          <w:rFonts w:ascii="Calibri" w:eastAsia="Calibri" w:hAnsi="Calibri" w:cs="Arial"/>
          <w:szCs w:val="18"/>
          <w:lang w:val="pt-BR"/>
        </w:rPr>
        <w:t xml:space="preserve">: O Cliente é o exportador de dados. </w:t>
      </w:r>
      <w:r>
        <w:rPr>
          <w:rFonts w:ascii="Calibri" w:eastAsia="Calibri" w:hAnsi="Calibri" w:cs="Calibri"/>
          <w:szCs w:val="18"/>
          <w:lang w:val="pt-BR"/>
        </w:rPr>
        <w:t xml:space="preserve">O exportador de dados está obtendo suporte profissional de TI e serviços de consultoria conforme descrito na Ordem de Serviço do Enterprise Services aplicável. </w:t>
      </w:r>
    </w:p>
    <w:p w:rsidR="00335865" w:rsidRDefault="0014121B">
      <w:pPr>
        <w:pStyle w:val="ProductList-Body"/>
        <w:spacing w:after="120"/>
        <w:rPr>
          <w:lang w:val="pt-BR"/>
        </w:rPr>
      </w:pPr>
      <w:r>
        <w:rPr>
          <w:rFonts w:ascii="Calibri" w:eastAsia="Calibri" w:hAnsi="Calibri" w:cs="Arial"/>
          <w:b/>
          <w:szCs w:val="18"/>
          <w:lang w:val="pt-BR"/>
        </w:rPr>
        <w:t>Importador de dados:</w:t>
      </w:r>
      <w:r>
        <w:rPr>
          <w:rFonts w:ascii="Calibri" w:eastAsia="Calibri" w:hAnsi="Calibri" w:cs="Arial"/>
          <w:szCs w:val="18"/>
          <w:lang w:val="pt-BR"/>
        </w:rPr>
        <w:t xml:space="preserve"> O importador de dados é a </w:t>
      </w:r>
      <w:r>
        <w:rPr>
          <w:rFonts w:ascii="Calibri" w:eastAsia="Calibri" w:hAnsi="Calibri" w:cs="Calibri"/>
          <w:szCs w:val="18"/>
          <w:lang w:val="pt-BR"/>
        </w:rPr>
        <w:t>Microsoft Global Services Center (Índia) Private Limited</w:t>
      </w:r>
      <w:r>
        <w:rPr>
          <w:rFonts w:ascii="Calibri" w:eastAsia="Calibri" w:hAnsi="Calibri" w:cs="Arial"/>
          <w:szCs w:val="18"/>
          <w:lang w:val="pt-BR"/>
        </w:rPr>
        <w:t>, afiliada da Microsoft Corporation que fornece serviços globais de consultoria em TI.</w:t>
      </w:r>
    </w:p>
    <w:p w:rsidR="00335865" w:rsidRDefault="0014121B">
      <w:pPr>
        <w:pStyle w:val="ProductList-Body"/>
        <w:spacing w:after="120"/>
        <w:rPr>
          <w:lang w:val="pt-BR"/>
        </w:rPr>
      </w:pPr>
      <w:r>
        <w:rPr>
          <w:rFonts w:ascii="Calibri" w:eastAsia="Calibri" w:hAnsi="Calibri" w:cs="Arial"/>
          <w:b/>
          <w:szCs w:val="18"/>
          <w:lang w:val="pt-BR"/>
        </w:rPr>
        <w:t>Titulares dos dados</w:t>
      </w:r>
      <w:r>
        <w:rPr>
          <w:rFonts w:ascii="Calibri" w:eastAsia="Calibri" w:hAnsi="Calibri" w:cs="Arial"/>
          <w:szCs w:val="18"/>
          <w:lang w:val="pt-BR"/>
        </w:rPr>
        <w:t xml:space="preserve">: Os titulares dos dados incluem os representantes do cliente do exportador de dados e os usuários finais, inclusive funcionários, contratados, colaboradores e clientes do exportador de dados. Os titulares dos dados também podem incluir indivíduos que tentam comunicar ou transferir informações pessoais a usuários dos serviços fornecidos pelo importador de dados. </w:t>
      </w:r>
    </w:p>
    <w:p w:rsidR="00335865" w:rsidRDefault="0014121B">
      <w:pPr>
        <w:pStyle w:val="ProductList-Body"/>
        <w:spacing w:after="120"/>
        <w:rPr>
          <w:lang w:val="pt-BR"/>
        </w:rPr>
      </w:pPr>
      <w:r>
        <w:rPr>
          <w:rFonts w:ascii="Calibri" w:eastAsia="Calibri" w:hAnsi="Calibri" w:cs="Arial"/>
          <w:b/>
          <w:szCs w:val="18"/>
          <w:lang w:val="pt-BR"/>
        </w:rPr>
        <w:t>Categorias de dados</w:t>
      </w:r>
      <w:r>
        <w:rPr>
          <w:rFonts w:ascii="Calibri" w:eastAsia="Calibri" w:hAnsi="Calibri" w:cs="Arial"/>
          <w:szCs w:val="18"/>
          <w:lang w:val="pt-BR"/>
        </w:rPr>
        <w:t>: Os dados pessoais transferidos incluem e-mail, documentos e outros dados, em um formato eletrônico, conforme necessário a fim de prestar os Serviços Profissionais.</w:t>
      </w:r>
    </w:p>
    <w:p w:rsidR="00335865" w:rsidRDefault="0014121B">
      <w:pPr>
        <w:pStyle w:val="ProductList-Body"/>
        <w:rPr>
          <w:lang w:val="pt-BR"/>
        </w:rPr>
      </w:pPr>
      <w:r>
        <w:rPr>
          <w:rFonts w:ascii="Calibri" w:eastAsia="Calibri" w:hAnsi="Calibri" w:cs="Arial"/>
          <w:b/>
          <w:szCs w:val="18"/>
          <w:lang w:val="pt-BR"/>
        </w:rPr>
        <w:t>Operações de processamento</w:t>
      </w:r>
      <w:r>
        <w:rPr>
          <w:rFonts w:ascii="Calibri" w:eastAsia="Calibri" w:hAnsi="Calibri" w:cs="Arial"/>
          <w:szCs w:val="18"/>
          <w:lang w:val="pt-BR"/>
        </w:rPr>
        <w:t xml:space="preserve">: Os dados pessoais transferidos estarão sujeitos às seguintes atividades básicas de processamento: </w:t>
      </w:r>
    </w:p>
    <w:p w:rsidR="00335865" w:rsidRDefault="0014121B">
      <w:pPr>
        <w:pStyle w:val="ProductList-Body"/>
        <w:spacing w:after="60"/>
        <w:ind w:left="547"/>
        <w:rPr>
          <w:b/>
          <w:lang w:val="pt-BR"/>
        </w:rPr>
      </w:pPr>
      <w:r>
        <w:rPr>
          <w:rFonts w:ascii="Calibri" w:eastAsia="Calibri" w:hAnsi="Calibri" w:cs="Arial"/>
          <w:b/>
          <w:szCs w:val="18"/>
          <w:lang w:val="pt-BR"/>
        </w:rPr>
        <w:t>a.</w:t>
      </w:r>
      <w:r>
        <w:rPr>
          <w:rFonts w:ascii="Calibri" w:eastAsia="Calibri" w:hAnsi="Calibri" w:cs="Arial"/>
          <w:b/>
          <w:szCs w:val="18"/>
          <w:lang w:val="pt-BR"/>
        </w:rPr>
        <w:tab/>
        <w:t xml:space="preserve">Duração e Objeto do Processamento de Dados. </w:t>
      </w:r>
      <w:r>
        <w:rPr>
          <w:rFonts w:ascii="Calibri" w:eastAsia="Calibri" w:hAnsi="Calibri" w:cs="Arial"/>
          <w:szCs w:val="18"/>
          <w:lang w:val="pt-BR"/>
        </w:rPr>
        <w:t>A duração do processamento de dados será o prazo designado de acordo com o contrato de licenciamento por volume aplicável entre o exportador de dados e a entidade da Microsoft ao qual essas Cláusulas Contratuais Padrão estão anexadas (“Microsoft”). O objeto do processamento de dados é o desempenho dos Serviços Profissionais.</w:t>
      </w:r>
    </w:p>
    <w:p w:rsidR="00335865" w:rsidRDefault="0014121B">
      <w:pPr>
        <w:pStyle w:val="ProductList-Body"/>
        <w:spacing w:after="60"/>
        <w:ind w:left="547"/>
        <w:rPr>
          <w:b/>
          <w:lang w:val="pt-BR"/>
        </w:rPr>
      </w:pPr>
      <w:r>
        <w:rPr>
          <w:rFonts w:ascii="Calibri" w:eastAsia="Calibri" w:hAnsi="Calibri" w:cs="Arial"/>
          <w:b/>
          <w:szCs w:val="18"/>
          <w:lang w:val="pt-BR"/>
        </w:rPr>
        <w:lastRenderedPageBreak/>
        <w:t>b.</w:t>
      </w:r>
      <w:r>
        <w:rPr>
          <w:rFonts w:ascii="Calibri" w:eastAsia="Calibri" w:hAnsi="Calibri" w:cs="Arial"/>
          <w:b/>
          <w:szCs w:val="18"/>
          <w:lang w:val="pt-BR"/>
        </w:rPr>
        <w:tab/>
        <w:t xml:space="preserve">Escopo e Finalidade do Processamento de Dados. </w:t>
      </w:r>
      <w:r>
        <w:rPr>
          <w:rFonts w:ascii="Calibri" w:eastAsia="Calibri" w:hAnsi="Calibri" w:cs="Arial"/>
          <w:szCs w:val="18"/>
          <w:lang w:val="pt-BR"/>
        </w:rPr>
        <w:t>O escopo e a finalidade do processamento de dados pessoais estão descritos no Adendo e no Contrato.</w:t>
      </w:r>
    </w:p>
    <w:p w:rsidR="00335865" w:rsidRDefault="0014121B">
      <w:pPr>
        <w:pStyle w:val="ProductList-Body"/>
        <w:spacing w:after="60"/>
        <w:ind w:left="547"/>
        <w:rPr>
          <w:lang w:val="pt-BR"/>
        </w:rPr>
      </w:pPr>
      <w:r>
        <w:rPr>
          <w:rFonts w:ascii="Calibri" w:eastAsia="Calibri" w:hAnsi="Calibri" w:cs="Arial"/>
          <w:b/>
          <w:szCs w:val="18"/>
          <w:lang w:val="pt-BR"/>
        </w:rPr>
        <w:t>c.</w:t>
      </w:r>
      <w:r>
        <w:rPr>
          <w:rFonts w:ascii="Calibri" w:eastAsia="Calibri" w:hAnsi="Calibri" w:cs="Arial"/>
          <w:b/>
          <w:szCs w:val="18"/>
          <w:lang w:val="pt-BR"/>
        </w:rPr>
        <w:tab/>
        <w:t xml:space="preserve">Dados de Acesso de Suporte e Consultoria. </w:t>
      </w:r>
      <w:r>
        <w:rPr>
          <w:rFonts w:ascii="Calibri" w:eastAsia="Calibri" w:hAnsi="Calibri" w:cs="Arial"/>
          <w:szCs w:val="18"/>
          <w:lang w:val="pt-BR"/>
        </w:rPr>
        <w:t xml:space="preserve">Durante a vigência estipulada no Contrato, segundo sua escolha e conforme necessário nos termos da legislação aplicável que implementa o Artigo 12(b) da Diretiva de Proteção de Dados da UE, a Microsoft: (1) fornecerá ao Cliente a capacidade para corrigir, excluir ou bloquear Dados de Suporte e Consultoria, ou (2) ´fará as essas correções, exclusões ou bloqueios em nome do Cliente. </w:t>
      </w:r>
    </w:p>
    <w:p w:rsidR="00335865" w:rsidRDefault="0014121B">
      <w:pPr>
        <w:pStyle w:val="ProductList-Body"/>
        <w:spacing w:after="60"/>
        <w:ind w:left="547"/>
        <w:rPr>
          <w:lang w:val="pt-BR"/>
        </w:rPr>
      </w:pPr>
      <w:r>
        <w:rPr>
          <w:rFonts w:ascii="Calibri" w:eastAsia="Calibri" w:hAnsi="Calibri" w:cs="Arial"/>
          <w:b/>
          <w:szCs w:val="18"/>
          <w:lang w:val="pt-BR"/>
        </w:rPr>
        <w:t>d.</w:t>
      </w:r>
      <w:r>
        <w:rPr>
          <w:rFonts w:ascii="Calibri" w:eastAsia="Calibri" w:hAnsi="Calibri" w:cs="Arial"/>
          <w:b/>
          <w:szCs w:val="18"/>
          <w:lang w:val="pt-BR"/>
        </w:rPr>
        <w:tab/>
        <w:t xml:space="preserve">Instruções do Exportador de Dados. </w:t>
      </w:r>
      <w:r>
        <w:rPr>
          <w:rFonts w:ascii="Calibri" w:eastAsia="Calibri" w:hAnsi="Calibri" w:cs="Arial"/>
          <w:szCs w:val="18"/>
          <w:lang w:val="pt-BR"/>
        </w:rPr>
        <w:t xml:space="preserve">Para os Serviços Profissionais, o importador de dados atuará somente conforme as instruções do exportador de dados conforme conduzidas pela Microsoft. </w:t>
      </w:r>
    </w:p>
    <w:p w:rsidR="00335865" w:rsidRDefault="0014121B">
      <w:pPr>
        <w:pStyle w:val="ProductList-Body"/>
        <w:spacing w:after="60"/>
        <w:ind w:left="547"/>
        <w:rPr>
          <w:lang w:val="pt-BR"/>
        </w:rPr>
      </w:pPr>
      <w:r>
        <w:rPr>
          <w:rFonts w:ascii="Calibri" w:eastAsia="Calibri" w:hAnsi="Calibri" w:cs="Arial"/>
          <w:b/>
          <w:szCs w:val="18"/>
          <w:lang w:val="pt-BR"/>
        </w:rPr>
        <w:t>e.</w:t>
      </w:r>
      <w:r>
        <w:rPr>
          <w:rFonts w:ascii="Calibri" w:eastAsia="Calibri" w:hAnsi="Calibri" w:cs="Arial"/>
          <w:b/>
          <w:szCs w:val="18"/>
          <w:lang w:val="pt-BR"/>
        </w:rPr>
        <w:tab/>
        <w:t>Exclusão ou Devolução de Dados de Suporte e Consultoria.</w:t>
      </w:r>
      <w:r>
        <w:rPr>
          <w:rFonts w:ascii="Calibri" w:eastAsia="Calibri" w:hAnsi="Calibri" w:cs="Arial"/>
          <w:szCs w:val="18"/>
          <w:lang w:val="pt-BR"/>
        </w:rPr>
        <w:t xml:space="preserve"> A Microsoft excluirá ou devolverá todas as cópias dos Dados de Suporte e Consultoria após as finalidades comerciais para as quais os Dados de Suporte e Consultoria foram coletados ou transferidos terem sido atendidas ou antes mediante solicitação por escrito do Cliente. </w:t>
      </w:r>
    </w:p>
    <w:p w:rsidR="00335865" w:rsidRDefault="0014121B">
      <w:pPr>
        <w:pStyle w:val="ProductList-Body"/>
        <w:rPr>
          <w:lang w:val="pt-BR"/>
        </w:rPr>
      </w:pPr>
      <w:r>
        <w:rPr>
          <w:rFonts w:ascii="Calibri" w:eastAsia="Calibri" w:hAnsi="Calibri" w:cs="Arial"/>
          <w:b/>
          <w:szCs w:val="18"/>
          <w:lang w:val="pt-BR"/>
        </w:rPr>
        <w:t xml:space="preserve">Subcontratados: </w:t>
      </w:r>
      <w:r>
        <w:rPr>
          <w:rFonts w:ascii="Calibri" w:eastAsia="Calibri" w:hAnsi="Calibri" w:cs="Arial"/>
          <w:szCs w:val="18"/>
          <w:lang w:val="pt-BR"/>
        </w:rPr>
        <w:t>O importador de dados poderá contratar outras empresas para prestar serviços limitados em nome do importador. Esses subcontratados poderão obter os Dados de Suporte e Consultoria apenas para prestar serviços pelos quais foram contratados pelo importador de dados, e estarão proibidos de usar os Dados de Suporte e Consultoria para qualquer outra finalidade.</w:t>
      </w:r>
    </w:p>
    <w:p w:rsidR="00335865" w:rsidRDefault="00335865">
      <w:pPr>
        <w:pStyle w:val="ProductList-Body"/>
        <w:rPr>
          <w:lang w:val="pt-BR"/>
        </w:rPr>
      </w:pPr>
    </w:p>
    <w:p w:rsidR="00335865" w:rsidRDefault="0014121B">
      <w:pPr>
        <w:pStyle w:val="ProductList-Body"/>
        <w:outlineLvl w:val="1"/>
        <w:rPr>
          <w:b/>
          <w:lang w:val="pt-BR"/>
        </w:rPr>
      </w:pPr>
      <w:r>
        <w:rPr>
          <w:rFonts w:ascii="Calibri" w:eastAsia="Calibri" w:hAnsi="Calibri" w:cs="Arial"/>
          <w:b/>
          <w:szCs w:val="18"/>
          <w:lang w:val="pt-BR"/>
        </w:rPr>
        <w:t>Apêndice 2 às Cláusulas Contratuais Padrão para os Serviços de Consultoria prestados pela Global Delivery Índia</w:t>
      </w:r>
    </w:p>
    <w:p w:rsidR="00335865" w:rsidRDefault="00335865">
      <w:pPr>
        <w:pStyle w:val="ProductList-Body"/>
        <w:rPr>
          <w:lang w:val="pt-BR"/>
        </w:rPr>
      </w:pPr>
    </w:p>
    <w:p w:rsidR="00335865" w:rsidRDefault="0014121B">
      <w:pPr>
        <w:pStyle w:val="ProductList-Body"/>
        <w:spacing w:after="120"/>
        <w:rPr>
          <w:lang w:val="pt-BR"/>
        </w:rPr>
      </w:pPr>
      <w:r>
        <w:rPr>
          <w:rFonts w:ascii="Calibri" w:eastAsia="Calibri" w:hAnsi="Calibri" w:cs="Arial"/>
          <w:szCs w:val="18"/>
          <w:lang w:val="pt-BR"/>
        </w:rPr>
        <w:t>Descrição das medidas de segurança técnicas e organizacionais implementadas pelo importador de dados de acordo com as Cláusulas 4(d) e 5(c):</w:t>
      </w:r>
    </w:p>
    <w:p w:rsidR="00335865" w:rsidRDefault="0014121B">
      <w:pPr>
        <w:pStyle w:val="ProductList-Body"/>
        <w:spacing w:after="120"/>
        <w:rPr>
          <w:lang w:val="pt-BR"/>
        </w:rPr>
      </w:pPr>
      <w:r>
        <w:rPr>
          <w:rFonts w:ascii="Calibri" w:eastAsia="Calibri" w:hAnsi="Calibri" w:cs="Arial"/>
          <w:szCs w:val="18"/>
          <w:lang w:val="pt-BR"/>
        </w:rPr>
        <w:t xml:space="preserve">1. </w:t>
      </w:r>
      <w:r>
        <w:rPr>
          <w:rFonts w:ascii="Calibri" w:eastAsia="Calibri" w:hAnsi="Calibri" w:cs="Arial"/>
          <w:b/>
          <w:szCs w:val="18"/>
          <w:lang w:val="pt-BR"/>
        </w:rPr>
        <w:t>Equipe</w:t>
      </w:r>
      <w:r>
        <w:rPr>
          <w:rFonts w:ascii="Calibri" w:eastAsia="Calibri" w:hAnsi="Calibri" w:cs="Arial"/>
          <w:szCs w:val="18"/>
          <w:lang w:val="pt-BR"/>
        </w:rPr>
        <w:t xml:space="preserve">. A equipe ido importador de dados não processará os Dados de Suporte e Consultoria sem autorização. A equipe é obrigada a manter a confidencialidade de todos os Dados de Suporte e Consultoria, e essa obrigação permanece mesmo após o término da contratação. </w:t>
      </w:r>
    </w:p>
    <w:p w:rsidR="00335865" w:rsidRDefault="0014121B">
      <w:pPr>
        <w:pStyle w:val="ProductList-Body"/>
        <w:rPr>
          <w:lang w:val="pt-BR"/>
        </w:rPr>
      </w:pPr>
      <w:r>
        <w:rPr>
          <w:rFonts w:ascii="Calibri" w:eastAsia="Calibri" w:hAnsi="Calibri" w:cs="Arial"/>
          <w:szCs w:val="18"/>
          <w:lang w:val="pt-BR"/>
        </w:rPr>
        <w:t xml:space="preserve">2. </w:t>
      </w:r>
      <w:r>
        <w:rPr>
          <w:rFonts w:ascii="Calibri" w:eastAsia="Calibri" w:hAnsi="Calibri" w:cs="Arial"/>
          <w:b/>
          <w:szCs w:val="18"/>
          <w:lang w:val="pt-BR"/>
        </w:rPr>
        <w:t>Contato de Privacidade de Dados</w:t>
      </w:r>
      <w:r>
        <w:rPr>
          <w:rFonts w:ascii="Calibri" w:eastAsia="Calibri" w:hAnsi="Calibri" w:cs="Arial"/>
          <w:szCs w:val="18"/>
          <w:lang w:val="pt-BR"/>
        </w:rPr>
        <w:t xml:space="preserve">. O oficial de privacidade de dados do importador de dados poderá ser contatado no seguinte endereço: </w:t>
      </w:r>
    </w:p>
    <w:p w:rsidR="00335865" w:rsidRDefault="0014121B">
      <w:pPr>
        <w:pStyle w:val="ProductList-Body"/>
        <w:ind w:left="360"/>
        <w:rPr>
          <w:lang w:val="pt-BR"/>
        </w:rPr>
      </w:pPr>
      <w:r>
        <w:rPr>
          <w:rFonts w:ascii="Calibri" w:eastAsia="Calibri" w:hAnsi="Calibri" w:cs="Arial"/>
          <w:szCs w:val="18"/>
          <w:lang w:val="pt-BR"/>
        </w:rPr>
        <w:t xml:space="preserve">Microsoft Global Services Center (India) Private Limited </w:t>
      </w:r>
    </w:p>
    <w:p w:rsidR="00335865" w:rsidRDefault="0014121B">
      <w:pPr>
        <w:pStyle w:val="ProductList-Body"/>
        <w:ind w:left="360"/>
        <w:rPr>
          <w:lang w:val="pt-BR"/>
        </w:rPr>
      </w:pPr>
      <w:r>
        <w:rPr>
          <w:rFonts w:ascii="Calibri" w:eastAsia="Calibri" w:hAnsi="Calibri" w:cs="Arial"/>
          <w:szCs w:val="18"/>
          <w:lang w:val="pt-BR"/>
        </w:rPr>
        <w:t xml:space="preserve">Aos cuidados de: </w:t>
      </w:r>
      <w:r>
        <w:rPr>
          <w:rFonts w:ascii="Calibri" w:eastAsia="Calibri" w:hAnsi="Calibri" w:cs="Calibri"/>
          <w:szCs w:val="18"/>
          <w:lang w:val="pt-BR"/>
        </w:rPr>
        <w:t>Ravi Piduri</w:t>
      </w:r>
    </w:p>
    <w:p w:rsidR="00335865" w:rsidRDefault="0014121B">
      <w:pPr>
        <w:pStyle w:val="ProductList-Body"/>
        <w:ind w:left="360"/>
        <w:rPr>
          <w:lang w:val="pt-BR"/>
        </w:rPr>
      </w:pPr>
      <w:r>
        <w:rPr>
          <w:rFonts w:ascii="Calibri" w:eastAsia="Calibri" w:hAnsi="Calibri" w:cs="Arial"/>
          <w:szCs w:val="18"/>
          <w:lang w:val="pt-BR"/>
        </w:rPr>
        <w:t xml:space="preserve">1 Microsoft Way </w:t>
      </w:r>
    </w:p>
    <w:p w:rsidR="00335865" w:rsidRDefault="0014121B">
      <w:pPr>
        <w:pStyle w:val="ProductList-Body"/>
        <w:spacing w:after="120"/>
        <w:ind w:left="360"/>
        <w:rPr>
          <w:lang w:val="pt-BR"/>
        </w:rPr>
      </w:pPr>
      <w:r>
        <w:rPr>
          <w:rFonts w:ascii="Calibri" w:eastAsia="Calibri" w:hAnsi="Calibri" w:cs="Arial"/>
          <w:szCs w:val="18"/>
          <w:lang w:val="pt-BR"/>
        </w:rPr>
        <w:t xml:space="preserve">Redmond, WA 98052 USA </w:t>
      </w:r>
    </w:p>
    <w:p w:rsidR="00335865" w:rsidRDefault="0014121B">
      <w:pPr>
        <w:pStyle w:val="ProductList-Body"/>
        <w:spacing w:after="120"/>
        <w:rPr>
          <w:lang w:val="pt-BR"/>
        </w:rPr>
      </w:pPr>
      <w:r>
        <w:rPr>
          <w:rFonts w:ascii="Calibri" w:eastAsia="Calibri" w:hAnsi="Calibri" w:cs="Arial"/>
          <w:szCs w:val="18"/>
          <w:lang w:val="pt-BR"/>
        </w:rPr>
        <w:t xml:space="preserve">3. </w:t>
      </w:r>
      <w:r>
        <w:rPr>
          <w:rFonts w:ascii="Calibri" w:eastAsia="Calibri" w:hAnsi="Calibri" w:cs="Arial"/>
          <w:b/>
          <w:szCs w:val="18"/>
          <w:lang w:val="pt-BR"/>
        </w:rPr>
        <w:t>Medidas Técnicas e Organizacionais</w:t>
      </w:r>
      <w:r>
        <w:rPr>
          <w:rFonts w:ascii="Calibri" w:eastAsia="Calibri" w:hAnsi="Calibri" w:cs="Arial"/>
          <w:szCs w:val="18"/>
          <w:lang w:val="pt-BR"/>
        </w:rPr>
        <w:t>. O importador de dados implementou e manterá as medidas técnicas e organizacionais apropriadas, controles internos e rotinas de segurança de informações para proteger os Dados de Suporte e Consultoria, conforme definido no Adendo de Proteção de Dados dos Serviços Microsoft Professional, contra perda, destruição ou alteração acidentais, divulgação ou acesso não autorizados ou destruição indevida, da seguinte forma: As medidas técnicas e organizacionais, os controles internos e as rotinas de segurança de informações estabelecidas no Anexo 1 estão, por meio deste, incorporadas neste Apêndice 2 por esta referência e vinculam legalmente o importador de dados como se estivessem estabelecidas neste Apêndice 2 em sua totalidade.</w:t>
      </w:r>
    </w:p>
    <w:p w:rsidR="00335865" w:rsidRDefault="0014121B">
      <w:pPr>
        <w:pStyle w:val="ProductList-Body"/>
        <w:rPr>
          <w:lang w:val="pt-BR"/>
        </w:rPr>
      </w:pPr>
      <w:r>
        <w:rPr>
          <w:rFonts w:ascii="Calibri" w:eastAsia="Calibri" w:hAnsi="Calibri" w:cs="Arial"/>
          <w:szCs w:val="18"/>
          <w:lang w:val="pt-BR"/>
        </w:rPr>
        <w:t>A assinatura da Microsoft Corporation é exibida na página a seguir.</w:t>
      </w:r>
    </w:p>
    <w:p w:rsidR="00335865" w:rsidRDefault="0014121B">
      <w:pPr>
        <w:pStyle w:val="ProductList-Body"/>
        <w:rPr>
          <w:lang w:val="pt-BR"/>
        </w:rPr>
      </w:pPr>
      <w:r>
        <w:rPr>
          <w:lang w:val="pt-BR"/>
        </w:rPr>
        <w:br w:type="page"/>
      </w:r>
    </w:p>
    <w:p w:rsidR="00335865" w:rsidRDefault="00335865">
      <w:pPr>
        <w:pStyle w:val="ProductList-Body"/>
        <w:rPr>
          <w:lang w:val="pt-BR"/>
        </w:rPr>
      </w:pPr>
    </w:p>
    <w:p w:rsidR="00335865" w:rsidRDefault="0014121B">
      <w:pPr>
        <w:pStyle w:val="ProductList-Body"/>
        <w:outlineLvl w:val="1"/>
        <w:rPr>
          <w:b/>
          <w:lang w:val="pt-BR"/>
        </w:rPr>
      </w:pPr>
      <w:r>
        <w:rPr>
          <w:rFonts w:ascii="Calibri" w:eastAsia="Calibri" w:hAnsi="Calibri" w:cs="Arial"/>
          <w:b/>
          <w:szCs w:val="18"/>
          <w:lang w:val="pt-BR"/>
        </w:rPr>
        <w:t>Assinando as Cláusulas Contratuais Padrão para os Serviços de Consultoria fornecidos pela Global Delivery Índia, o Apêndice 1 e o Apêndice 2 em nome do importador de dados:</w:t>
      </w:r>
    </w:p>
    <w:p w:rsidR="00335865" w:rsidRDefault="00335865">
      <w:pPr>
        <w:pStyle w:val="ProductList-Body"/>
        <w:rPr>
          <w:lang w:val="pt-BR"/>
        </w:rPr>
      </w:pPr>
    </w:p>
    <w:p w:rsidR="00335865" w:rsidRDefault="0014121B">
      <w:pPr>
        <w:keepNext/>
        <w:tabs>
          <w:tab w:val="right" w:pos="9000"/>
        </w:tabs>
        <w:spacing w:before="360"/>
        <w:rPr>
          <w:lang w:val="pt-BR"/>
        </w:rPr>
      </w:pPr>
      <w:r>
        <w:rPr>
          <w:rFonts w:ascii="Calibri" w:eastAsia="Calibri" w:hAnsi="Calibri" w:cs="Calibri"/>
          <w:sz w:val="23"/>
          <w:szCs w:val="23"/>
          <w:lang w:val="pt-BR"/>
        </w:rPr>
        <w:t>Assinatura*</w:t>
      </w:r>
    </w:p>
    <w:p w:rsidR="00335865" w:rsidRDefault="0014121B">
      <w:pPr>
        <w:keepNext/>
        <w:tabs>
          <w:tab w:val="right" w:pos="9000"/>
        </w:tabs>
        <w:spacing w:before="360"/>
        <w:rPr>
          <w:rFonts w:cstheme="minorHAnsi"/>
          <w:sz w:val="23"/>
          <w:szCs w:val="23"/>
          <w:lang w:val="pt-BR"/>
        </w:rPr>
      </w:pPr>
      <w:r>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193761" name=""/>
                    <pic:cNvPicPr/>
                  </pic:nvPicPr>
                  <pic:blipFill>
                    <a:blip r:embed="rId16"/>
                    <a:stretch>
                      <a:fillRect/>
                    </a:stretch>
                  </pic:blipFill>
                  <pic:spPr>
                    <a:xfrm>
                      <a:off x="0" y="0"/>
                      <a:ext cx="1676400" cy="781050"/>
                    </a:xfrm>
                    <a:prstGeom prst="rect">
                      <a:avLst/>
                    </a:prstGeom>
                  </pic:spPr>
                </pic:pic>
              </a:graphicData>
            </a:graphic>
          </wp:inline>
        </w:drawing>
      </w:r>
    </w:p>
    <w:p w:rsidR="00335865" w:rsidRDefault="0014121B">
      <w:pPr>
        <w:keepNext/>
        <w:spacing w:before="120"/>
        <w:rPr>
          <w:rFonts w:cstheme="minorHAnsi"/>
          <w:b/>
          <w:spacing w:val="-2"/>
          <w:lang w:val="pt-BR"/>
        </w:rPr>
      </w:pPr>
      <w:bookmarkStart w:id="26" w:name="_Hlk498066566"/>
      <w:r>
        <w:rPr>
          <w:rFonts w:ascii="Calibri" w:eastAsia="Calibri" w:hAnsi="Calibri" w:cs="Calibri"/>
          <w:b/>
          <w:spacing w:val="-2"/>
          <w:lang w:val="pt-BR"/>
        </w:rPr>
        <w:t>Amit Sircar, vice-presidente</w:t>
      </w:r>
    </w:p>
    <w:bookmarkEnd w:id="26"/>
    <w:p w:rsidR="00335865" w:rsidRDefault="0014121B">
      <w:pPr>
        <w:pStyle w:val="ProductList-Body"/>
        <w:rPr>
          <w:lang w:val="pt-BR"/>
        </w:rPr>
      </w:pPr>
      <w:r>
        <w:rPr>
          <w:rFonts w:ascii="Calibri" w:eastAsia="Calibri" w:hAnsi="Calibri" w:cs="Arial"/>
          <w:szCs w:val="18"/>
          <w:lang w:val="pt-BR"/>
        </w:rPr>
        <w:t xml:space="preserve">Microsoft Global Services Center (Índia) Private Limited </w:t>
      </w:r>
    </w:p>
    <w:p w:rsidR="00335865" w:rsidRDefault="0014121B">
      <w:pPr>
        <w:pStyle w:val="ProductList-Body"/>
        <w:rPr>
          <w:lang w:val="pt-BR"/>
        </w:rPr>
      </w:pPr>
      <w:r>
        <w:rPr>
          <w:rFonts w:ascii="Calibri" w:eastAsia="Calibri" w:hAnsi="Calibri" w:cs="Arial"/>
          <w:szCs w:val="18"/>
          <w:lang w:val="pt-BR"/>
        </w:rPr>
        <w:t xml:space="preserve">Building 1, Microsoft Campus, Gachibowli, </w:t>
      </w:r>
    </w:p>
    <w:p w:rsidR="00335865" w:rsidRDefault="0014121B">
      <w:pPr>
        <w:pStyle w:val="ProductList-Body"/>
        <w:rPr>
          <w:lang w:val="pt-BR"/>
        </w:rPr>
      </w:pPr>
      <w:r>
        <w:rPr>
          <w:rFonts w:ascii="Calibri" w:eastAsia="Calibri" w:hAnsi="Calibri" w:cs="Arial"/>
          <w:szCs w:val="18"/>
          <w:lang w:val="pt-BR"/>
        </w:rPr>
        <w:t xml:space="preserve">Hyderabad – 500032, Índia </w:t>
      </w:r>
    </w:p>
    <w:p w:rsidR="00335865" w:rsidRDefault="00335865">
      <w:pPr>
        <w:rPr>
          <w:rFonts w:cstheme="minorHAnsi"/>
          <w:b/>
          <w:sz w:val="24"/>
          <w:szCs w:val="24"/>
          <w:lang w:val="pt-BR" w:eastAsia="zh-CN"/>
        </w:rPr>
      </w:pPr>
    </w:p>
    <w:p w:rsidR="00335865" w:rsidRDefault="00335865">
      <w:pPr>
        <w:rPr>
          <w:rFonts w:cstheme="minorHAnsi"/>
          <w:b/>
          <w:sz w:val="24"/>
          <w:szCs w:val="24"/>
          <w:lang w:val="pt-BR" w:eastAsia="zh-CN"/>
        </w:rPr>
      </w:pPr>
    </w:p>
    <w:p w:rsidR="00335865" w:rsidRDefault="0014121B">
      <w:pPr>
        <w:rPr>
          <w:sz w:val="18"/>
          <w:lang w:val="pt-BR"/>
        </w:rPr>
      </w:pPr>
      <w:r>
        <w:rPr>
          <w:sz w:val="18"/>
          <w:lang w:val="pt-BR"/>
        </w:rPr>
        <w:br w:type="page"/>
      </w:r>
    </w:p>
    <w:p w:rsidR="00335865" w:rsidRDefault="0014121B">
      <w:pPr>
        <w:pStyle w:val="ProductList-SectionHeading"/>
        <w:outlineLvl w:val="0"/>
        <w:rPr>
          <w:lang w:val="pt-BR"/>
        </w:rPr>
      </w:pPr>
      <w:bookmarkStart w:id="27" w:name="Attachment4"/>
      <w:bookmarkStart w:id="28" w:name="_Toc489605629"/>
      <w:r>
        <w:rPr>
          <w:rFonts w:ascii="Calibri Light" w:eastAsia="Calibri Light" w:hAnsi="Calibri Light" w:cs="Arial"/>
          <w:szCs w:val="40"/>
          <w:lang w:val="pt-BR"/>
        </w:rPr>
        <w:lastRenderedPageBreak/>
        <w:t>Anexo 3 – Termos do Regulamento Geral sobre a Proteção de Dados da União Europeia</w:t>
      </w:r>
      <w:bookmarkEnd w:id="27"/>
      <w:bookmarkEnd w:id="28"/>
    </w:p>
    <w:p w:rsidR="00335865" w:rsidRDefault="0014121B">
      <w:pPr>
        <w:pStyle w:val="ProductList-Body"/>
        <w:tabs>
          <w:tab w:val="clear" w:pos="158"/>
          <w:tab w:val="left" w:pos="0"/>
        </w:tabs>
        <w:spacing w:after="120"/>
        <w:rPr>
          <w:lang w:val="pt-BR"/>
        </w:rPr>
      </w:pPr>
      <w:r>
        <w:rPr>
          <w:rFonts w:ascii="Calibri" w:eastAsia="Calibri" w:hAnsi="Calibri" w:cs="Arial"/>
          <w:szCs w:val="18"/>
          <w:lang w:val="pt-BR"/>
        </w:rPr>
        <w:t>Para os objetivos destes Termos do RGPD, o Cliente e a Microsoft concordam que o Cliente é o controlador dos Dados Pessoais do Cliente e a Microsoft é a processadora desses dados, salvo quando o Cliente atuar como processador de Dados Pessoais, caso em que a Microsoft será uma subprocessadora. Estes Termos do RGPD se aplicam ao processamento dos Dados Pessoais dentro do escopo do RGPD por parte da Microsoft em nome do Cliente.</w:t>
      </w:r>
    </w:p>
    <w:p w:rsidR="00335865" w:rsidRDefault="0014121B">
      <w:pPr>
        <w:pStyle w:val="ProductList-Body"/>
        <w:spacing w:after="120"/>
        <w:rPr>
          <w:lang w:val="pt-BR"/>
        </w:rPr>
      </w:pPr>
      <w:r>
        <w:rPr>
          <w:rFonts w:ascii="Calibri" w:eastAsia="Calibri" w:hAnsi="Calibri" w:cs="Arial"/>
          <w:szCs w:val="18"/>
          <w:lang w:val="pt-BR"/>
        </w:rPr>
        <w:t>Estes Termos do RGPD não limitam nem reduzem nenhum compromisso de proteção de dados feito pela Microsoft em relação ao Cliente no Adendo de Proteção de Dados de Suporte e Consultoria ou em outro contrato firmado entre a Microsoft e o Cliente.</w:t>
      </w:r>
    </w:p>
    <w:p w:rsidR="00335865" w:rsidRDefault="0014121B">
      <w:pPr>
        <w:pStyle w:val="ProductList-Body"/>
        <w:spacing w:after="120"/>
        <w:rPr>
          <w:lang w:val="pt-BR"/>
        </w:rPr>
      </w:pPr>
      <w:r>
        <w:rPr>
          <w:rFonts w:ascii="Calibri" w:eastAsia="Calibri" w:hAnsi="Calibri" w:cs="Arial"/>
          <w:szCs w:val="18"/>
          <w:lang w:val="pt-BR"/>
        </w:rPr>
        <w:t xml:space="preserve">Estes Termos do RGPD não serão aplicáveis se a Microsoft for uma controladora de Dados Pessoais. </w:t>
      </w:r>
    </w:p>
    <w:p w:rsidR="00335865" w:rsidRDefault="00335865">
      <w:pPr>
        <w:pStyle w:val="ProductList-Body"/>
        <w:rPr>
          <w:lang w:val="pt-BR"/>
        </w:rPr>
      </w:pPr>
    </w:p>
    <w:p w:rsidR="00335865" w:rsidRDefault="0014121B">
      <w:pPr>
        <w:pStyle w:val="ProductList-Body"/>
        <w:outlineLvl w:val="1"/>
        <w:rPr>
          <w:b/>
          <w:lang w:val="pt-BR"/>
        </w:rPr>
      </w:pPr>
      <w:r>
        <w:rPr>
          <w:rFonts w:ascii="Calibri" w:eastAsia="Calibri" w:hAnsi="Calibri" w:cs="Arial"/>
          <w:b/>
          <w:szCs w:val="18"/>
          <w:lang w:val="pt-BR"/>
        </w:rPr>
        <w:t>Obrigações Relevantes do RGPD: Artigos 28, 32 e 33</w:t>
      </w:r>
    </w:p>
    <w:p w:rsidR="00335865" w:rsidRDefault="00335865">
      <w:pPr>
        <w:pStyle w:val="ProductList-Body"/>
        <w:rPr>
          <w:lang w:val="pt-BR"/>
        </w:rPr>
      </w:pPr>
    </w:p>
    <w:p w:rsidR="00335865" w:rsidRDefault="0014121B">
      <w:pPr>
        <w:pStyle w:val="ProductList-Body"/>
        <w:spacing w:after="120"/>
        <w:ind w:left="158"/>
        <w:rPr>
          <w:lang w:val="pt-BR"/>
        </w:rPr>
      </w:pPr>
      <w:r>
        <w:rPr>
          <w:rFonts w:ascii="Calibri" w:eastAsia="Calibri" w:hAnsi="Calibri" w:cs="Arial"/>
          <w:b/>
          <w:szCs w:val="18"/>
          <w:lang w:val="pt-BR"/>
        </w:rPr>
        <w:t xml:space="preserve">1. </w:t>
      </w:r>
      <w:r>
        <w:rPr>
          <w:rFonts w:ascii="Calibri" w:eastAsia="Calibri" w:hAnsi="Calibri" w:cs="Arial"/>
          <w:szCs w:val="18"/>
          <w:lang w:val="pt-BR"/>
        </w:rP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rsidR="00335865" w:rsidRDefault="0014121B">
      <w:pPr>
        <w:pStyle w:val="ProductList-Body"/>
        <w:spacing w:after="120"/>
        <w:ind w:left="158"/>
        <w:rPr>
          <w:lang w:val="pt-BR"/>
        </w:rPr>
      </w:pPr>
      <w:r>
        <w:rPr>
          <w:rFonts w:ascii="Calibri" w:eastAsia="Calibri" w:hAnsi="Calibri" w:cs="Arial"/>
          <w:b/>
          <w:szCs w:val="18"/>
          <w:lang w:val="pt-BR"/>
        </w:rPr>
        <w:t>2.</w:t>
      </w:r>
      <w:r>
        <w:rPr>
          <w:rFonts w:ascii="Calibri" w:eastAsia="Calibri" w:hAnsi="Calibri" w:cs="Arial"/>
          <w:szCs w:val="18"/>
          <w:lang w:val="pt-BR"/>
        </w:rPr>
        <w:t xml:space="preserve"> O processamento pela Microsoft será regido por estes Termos do RGPD na União Europeia (doravante “União”) ou pela legislação do Estado Membro e são vinculativos para a Microsoft com relação ao Cliente. O assunto e a duração do processamento, a natureza e o objetivo do processamento, o tipo de Dados Pessoais, as categorias dos titulares de dados, além das obrigações e dos direitos do Cliente, são estabelecidos no contrato de licenciamento por volume do Cliente, inclusive estes Termos do RGPD. Especificamente, a Microsoft deverá: </w:t>
      </w:r>
    </w:p>
    <w:p w:rsidR="00335865" w:rsidRDefault="0014121B">
      <w:pPr>
        <w:pStyle w:val="ProductList-Body"/>
        <w:spacing w:after="120"/>
        <w:ind w:left="1440" w:hanging="720"/>
        <w:rPr>
          <w:lang w:val="pt-BR"/>
        </w:rPr>
      </w:pPr>
      <w:r>
        <w:rPr>
          <w:rFonts w:ascii="Calibri" w:eastAsia="Calibri" w:hAnsi="Calibri" w:cs="Arial"/>
          <w:b/>
          <w:szCs w:val="18"/>
          <w:lang w:val="pt-BR"/>
        </w:rPr>
        <w:t>(a)</w:t>
      </w:r>
      <w:r>
        <w:rPr>
          <w:rFonts w:ascii="Calibri" w:eastAsia="Calibri" w:hAnsi="Calibri" w:cs="Arial"/>
          <w:szCs w:val="18"/>
          <w:lang w:val="pt-BR"/>
        </w:rPr>
        <w:tab/>
        <w:t xml:space="preserve">processar os Dados Pessoais somente segundo as instruções documentadas do Cliente, inclusive com relação às transferências de Dados Pessoais a um país terceiro ou a uma organização internacional, a menos que seja requerido a fazê-lo pela legislação do Estado Membro ou da União à qual a Microsoft está sujeita; nesse caso, a Microsoft informará ao Cliente a exigência legal antes do processamento, a menos que a legislação proíba essa informação de acordo com bases importantes de interesse público; </w:t>
      </w:r>
    </w:p>
    <w:p w:rsidR="00335865" w:rsidRDefault="0014121B">
      <w:pPr>
        <w:pStyle w:val="ProductList-Body"/>
        <w:spacing w:after="120"/>
        <w:ind w:left="1440" w:hanging="720"/>
        <w:rPr>
          <w:lang w:val="pt-BR"/>
        </w:rPr>
      </w:pPr>
      <w:r>
        <w:rPr>
          <w:rFonts w:ascii="Calibri" w:eastAsia="Calibri" w:hAnsi="Calibri" w:cs="Arial"/>
          <w:b/>
          <w:szCs w:val="18"/>
          <w:lang w:val="pt-BR"/>
        </w:rPr>
        <w:t>(b)</w:t>
      </w:r>
      <w:r>
        <w:rPr>
          <w:rFonts w:ascii="Calibri" w:eastAsia="Calibri" w:hAnsi="Calibri" w:cs="Arial"/>
          <w:szCs w:val="18"/>
          <w:lang w:val="pt-BR"/>
        </w:rPr>
        <w:tab/>
        <w:t xml:space="preserve">assegurar que pessoas autorizadas a processar os Dados Pessoais se comprometam com a confidencialidade ou estejam sujeitas a uma obrigação legal de confidencialidade adequada; </w:t>
      </w:r>
    </w:p>
    <w:p w:rsidR="00335865" w:rsidRDefault="0014121B">
      <w:pPr>
        <w:pStyle w:val="ProductList-Body"/>
        <w:spacing w:after="120"/>
        <w:ind w:left="720"/>
        <w:rPr>
          <w:lang w:val="pt-BR"/>
        </w:rPr>
      </w:pPr>
      <w:r>
        <w:rPr>
          <w:rFonts w:ascii="Calibri" w:eastAsia="Calibri" w:hAnsi="Calibri" w:cs="Arial"/>
          <w:b/>
          <w:szCs w:val="18"/>
          <w:lang w:val="pt-BR"/>
        </w:rPr>
        <w:t>(c)</w:t>
      </w:r>
      <w:r>
        <w:rPr>
          <w:rFonts w:ascii="Calibri" w:eastAsia="Calibri" w:hAnsi="Calibri" w:cs="Arial"/>
          <w:szCs w:val="18"/>
          <w:lang w:val="pt-BR"/>
        </w:rPr>
        <w:tab/>
        <w:t xml:space="preserve">executar todas as medidas requeridas de acordo com o Artigo 32 do RGPD; </w:t>
      </w:r>
    </w:p>
    <w:p w:rsidR="00335865" w:rsidRDefault="0014121B">
      <w:pPr>
        <w:pStyle w:val="ProductList-Body"/>
        <w:spacing w:after="120"/>
        <w:ind w:left="720"/>
        <w:rPr>
          <w:lang w:val="pt-BR"/>
        </w:rPr>
      </w:pPr>
      <w:r>
        <w:rPr>
          <w:rFonts w:ascii="Calibri" w:eastAsia="Calibri" w:hAnsi="Calibri" w:cs="Arial"/>
          <w:b/>
          <w:szCs w:val="18"/>
          <w:lang w:val="pt-BR"/>
        </w:rPr>
        <w:t>(d)</w:t>
      </w:r>
      <w:r>
        <w:rPr>
          <w:rFonts w:ascii="Calibri" w:eastAsia="Calibri" w:hAnsi="Calibri" w:cs="Arial"/>
          <w:szCs w:val="18"/>
          <w:lang w:val="pt-BR"/>
        </w:rPr>
        <w:tab/>
        <w:t xml:space="preserve">respeitar as condições mencionadas nos parágrafos 1 e 3 para contratar outro processador; </w:t>
      </w:r>
    </w:p>
    <w:p w:rsidR="00335865" w:rsidRDefault="0014121B">
      <w:pPr>
        <w:pStyle w:val="ProductList-Body"/>
        <w:spacing w:after="120"/>
        <w:ind w:left="1440" w:hanging="720"/>
        <w:rPr>
          <w:lang w:val="pt-BR"/>
        </w:rPr>
      </w:pPr>
      <w:r>
        <w:rPr>
          <w:rFonts w:ascii="Calibri" w:eastAsia="Calibri" w:hAnsi="Calibri" w:cs="Arial"/>
          <w:b/>
          <w:szCs w:val="18"/>
          <w:lang w:val="pt-BR"/>
        </w:rPr>
        <w:t>(e)</w:t>
      </w:r>
      <w:r>
        <w:rPr>
          <w:rFonts w:ascii="Calibri" w:eastAsia="Calibri" w:hAnsi="Calibri" w:cs="Arial"/>
          <w:szCs w:val="18"/>
          <w:lang w:val="pt-BR"/>
        </w:rPr>
        <w:tab/>
        <w:t xml:space="preserve">levando em conta a natureza do processamento, auxiliar o Cliente nas medidas organizacionais e técnicas adequadas, na medida em que isso seja possível, para o cumprimento da obrigação do Cliente em responder a solicitações para exercer os direitos do titular dos dados estabelecidos no Capítulo III do RGPD; </w:t>
      </w:r>
    </w:p>
    <w:p w:rsidR="00335865" w:rsidRDefault="0014121B">
      <w:pPr>
        <w:pStyle w:val="ProductList-Body"/>
        <w:spacing w:after="120"/>
        <w:ind w:left="1440" w:hanging="720"/>
        <w:rPr>
          <w:lang w:val="pt-BR"/>
        </w:rPr>
      </w:pPr>
      <w:r>
        <w:rPr>
          <w:rFonts w:ascii="Calibri" w:eastAsia="Calibri" w:hAnsi="Calibri" w:cs="Arial"/>
          <w:b/>
          <w:szCs w:val="18"/>
          <w:lang w:val="pt-BR"/>
        </w:rPr>
        <w:t>(f)</w:t>
      </w:r>
      <w:r>
        <w:rPr>
          <w:rFonts w:ascii="Calibri" w:eastAsia="Calibri" w:hAnsi="Calibri" w:cs="Arial"/>
          <w:szCs w:val="18"/>
          <w:lang w:val="pt-BR"/>
        </w:rPr>
        <w:tab/>
        <w:t>auxiliar o Cliente a assegurar a conformidade com as obrigações de acordo com os Artigos 32 a 36 do RGPD, levando em conta a natureza do processamento e as informações disponíveis para a Microsoft;</w:t>
      </w:r>
    </w:p>
    <w:p w:rsidR="00335865" w:rsidRDefault="0014121B">
      <w:pPr>
        <w:pStyle w:val="ProductList-Body"/>
        <w:spacing w:after="120"/>
        <w:ind w:left="1440" w:hanging="720"/>
        <w:rPr>
          <w:lang w:val="pt-BR"/>
        </w:rPr>
      </w:pPr>
      <w:r>
        <w:rPr>
          <w:rFonts w:ascii="Calibri" w:eastAsia="Calibri" w:hAnsi="Calibri" w:cs="Arial"/>
          <w:b/>
          <w:szCs w:val="18"/>
          <w:lang w:val="pt-BR"/>
        </w:rPr>
        <w:t>(g)</w:t>
      </w:r>
      <w:r>
        <w:rPr>
          <w:rFonts w:ascii="Calibri" w:eastAsia="Calibri" w:hAnsi="Calibri" w:cs="Arial"/>
          <w:szCs w:val="18"/>
          <w:lang w:val="pt-BR"/>
        </w:rPr>
        <w:tab/>
        <w:t xml:space="preserve">a critério do Cliente, excluir ou devolver todos os Dados Pessoais ao Cliente depois do final do fornecimento de serviços com relação ao processamento e excluir as cópias existentes, a menos que a legislação do Estado Membro ou da União requeira o armazenamento dos Dados Pessoais; </w:t>
      </w:r>
    </w:p>
    <w:p w:rsidR="00335865" w:rsidRDefault="0014121B">
      <w:pPr>
        <w:pStyle w:val="ProductList-Body"/>
        <w:spacing w:after="120"/>
        <w:ind w:left="1440" w:hanging="720"/>
        <w:rPr>
          <w:lang w:val="pt-BR"/>
        </w:rPr>
      </w:pPr>
      <w:r>
        <w:rPr>
          <w:rFonts w:ascii="Calibri" w:eastAsia="Calibri" w:hAnsi="Calibri" w:cs="Arial"/>
          <w:b/>
          <w:szCs w:val="18"/>
          <w:lang w:val="pt-BR"/>
        </w:rPr>
        <w:t>(h)</w:t>
      </w:r>
      <w:r>
        <w:rPr>
          <w:rFonts w:ascii="Calibri" w:eastAsia="Calibri" w:hAnsi="Calibri" w:cs="Arial"/>
          <w:szCs w:val="18"/>
          <w:lang w:val="pt-BR"/>
        </w:rPr>
        <w:tab/>
        <w:t xml:space="preserve">disponibilizar ao Cliente todas as informações necessárias para demonstrar a conformidade com as obrigações estabelecidas no Artigo 28 do RGPD e permitir e contribuir para auditorias, inclusive inspeções, realizadas pelo Cliente ou por outro auditor autorizado pelo Cliente. </w:t>
      </w:r>
    </w:p>
    <w:p w:rsidR="00335865" w:rsidRDefault="0014121B">
      <w:pPr>
        <w:pStyle w:val="ProductList-Body"/>
        <w:spacing w:after="120"/>
        <w:ind w:left="158"/>
        <w:rPr>
          <w:lang w:val="pt-BR"/>
        </w:rPr>
      </w:pPr>
      <w:r>
        <w:rPr>
          <w:rFonts w:ascii="Calibri" w:eastAsia="Calibri" w:hAnsi="Calibri" w:cs="Arial"/>
          <w:szCs w:val="18"/>
          <w:lang w:val="pt-BR"/>
        </w:rPr>
        <w:t>A Microsoft informará o Cliente imediatamente se, em sua opinião, uma instrução estiver em violação das disposições de proteção de dados do RGPD ou outras disposições do Estado Membro ou da União. (Artigo 28(3))</w:t>
      </w:r>
    </w:p>
    <w:p w:rsidR="00335865" w:rsidRDefault="0014121B">
      <w:pPr>
        <w:pStyle w:val="ProductList-Body"/>
        <w:spacing w:after="120"/>
        <w:ind w:left="158"/>
        <w:rPr>
          <w:lang w:val="pt-BR"/>
        </w:rPr>
      </w:pPr>
      <w:r>
        <w:rPr>
          <w:rFonts w:ascii="Calibri" w:eastAsia="Calibri" w:hAnsi="Calibri" w:cs="Arial"/>
          <w:b/>
          <w:szCs w:val="18"/>
          <w:lang w:val="pt-BR"/>
        </w:rPr>
        <w:t>3.</w:t>
      </w:r>
      <w:r>
        <w:rPr>
          <w:rFonts w:ascii="Calibri" w:eastAsia="Calibri" w:hAnsi="Calibri" w:cs="Arial"/>
          <w:szCs w:val="18"/>
          <w:lang w:val="pt-BR"/>
        </w:rPr>
        <w:t xml:space="preserve"> Se a Microsoft se envolver em outro processo para executar atividades específicas de processamento em nome do Cliente, as mesmas obrigações de proteção de dados estabelecidas nestes Termos do RGPD deverão ser impostas ao outro processador em forma de um contrato ou outro ato legal nos termos da legislação do Estado Membro ou da União, fornecendo especialmente garantias suficientes para implementar medidas técnicas e organizacionais adequadas, de forma que o processamento atenda aos requisitos do RGPD. Se o outro processador não cumprir suas obrigações de proteção de dados, a Microsoft permanecerá totalmente responsável perante o Cliente pelo desempenho das obrigações do outro processador. (Artigo 28(4))</w:t>
      </w:r>
    </w:p>
    <w:p w:rsidR="00335865" w:rsidRDefault="0014121B">
      <w:pPr>
        <w:pStyle w:val="ProductList-Body"/>
        <w:spacing w:after="120"/>
        <w:ind w:left="158"/>
        <w:rPr>
          <w:lang w:val="pt-BR"/>
        </w:rPr>
      </w:pPr>
      <w:r>
        <w:rPr>
          <w:rFonts w:ascii="Calibri" w:eastAsia="Calibri" w:hAnsi="Calibri" w:cs="Arial"/>
          <w:b/>
          <w:szCs w:val="18"/>
          <w:lang w:val="pt-BR"/>
        </w:rPr>
        <w:lastRenderedPageBreak/>
        <w:t>4.</w:t>
      </w:r>
      <w:r>
        <w:rPr>
          <w:rFonts w:ascii="Calibri" w:eastAsia="Calibri" w:hAnsi="Calibri" w:cs="Arial"/>
          <w:szCs w:val="18"/>
          <w:lang w:val="pt-BR"/>
        </w:rPr>
        <w:t xml:space="preserve"> Levando em conta o estágio atual, os custos de implementação e a natureza, o escopo, o contexto e os objetivos de processamento, assim como o risco da variada probabilidade e gravidade dos direitos e da liberdade dos indivíduos, o Cliente e a Microsoft implementarão medidas organizacionais e técnicas adequadas para assegurar um nível de segurança adequado ao risco, inclusive, entre outras coisas, conforme adequado: </w:t>
      </w:r>
    </w:p>
    <w:p w:rsidR="00335865" w:rsidRDefault="0014121B">
      <w:pPr>
        <w:pStyle w:val="ProductList-Body"/>
        <w:spacing w:after="120"/>
        <w:ind w:left="720"/>
        <w:rPr>
          <w:rFonts w:cstheme="minorHAnsi"/>
          <w:szCs w:val="18"/>
          <w:lang w:val="pt-BR"/>
        </w:rPr>
      </w:pPr>
      <w:r>
        <w:rPr>
          <w:rFonts w:ascii="Calibri" w:eastAsia="Calibri" w:hAnsi="Calibri" w:cs="Calibri"/>
          <w:b/>
          <w:szCs w:val="18"/>
          <w:lang w:val="pt-BR"/>
        </w:rPr>
        <w:t>(a)</w:t>
      </w:r>
      <w:r>
        <w:rPr>
          <w:rFonts w:ascii="Calibri" w:eastAsia="Calibri" w:hAnsi="Calibri" w:cs="Calibri"/>
          <w:szCs w:val="18"/>
          <w:lang w:val="pt-BR"/>
        </w:rPr>
        <w:tab/>
        <w:t xml:space="preserve">a criação de pseudônimos e criptografia de Dados Pessoais; </w:t>
      </w:r>
    </w:p>
    <w:p w:rsidR="00335865" w:rsidRDefault="0014121B">
      <w:pPr>
        <w:pStyle w:val="ProductList-Body"/>
        <w:spacing w:after="120"/>
        <w:ind w:left="1440" w:hanging="720"/>
        <w:rPr>
          <w:rFonts w:cstheme="minorHAnsi"/>
          <w:szCs w:val="18"/>
          <w:lang w:val="pt-BR"/>
        </w:rPr>
      </w:pPr>
      <w:r>
        <w:rPr>
          <w:rFonts w:ascii="Calibri" w:eastAsia="Calibri" w:hAnsi="Calibri" w:cs="Calibri"/>
          <w:b/>
          <w:szCs w:val="18"/>
          <w:lang w:val="pt-BR"/>
        </w:rPr>
        <w:t>(b)</w:t>
      </w:r>
      <w:r>
        <w:rPr>
          <w:rFonts w:ascii="Calibri" w:eastAsia="Calibri" w:hAnsi="Calibri" w:cs="Calibri"/>
          <w:szCs w:val="18"/>
          <w:lang w:val="pt-BR"/>
        </w:rPr>
        <w:tab/>
        <w:t xml:space="preserve">a capacidade de assegurar a confidencialidade, integridade, disponibilidade e resiliência dos serviços e dos sistemas de processamento contínuos; </w:t>
      </w:r>
    </w:p>
    <w:p w:rsidR="00335865" w:rsidRDefault="0014121B">
      <w:pPr>
        <w:pStyle w:val="ProductList-Body"/>
        <w:spacing w:after="120"/>
        <w:ind w:left="1440" w:hanging="720"/>
        <w:rPr>
          <w:rFonts w:cstheme="minorHAnsi"/>
          <w:szCs w:val="18"/>
          <w:lang w:val="pt-BR"/>
        </w:rPr>
      </w:pPr>
      <w:r>
        <w:rPr>
          <w:rFonts w:ascii="Calibri" w:eastAsia="Calibri" w:hAnsi="Calibri" w:cs="Calibri"/>
          <w:b/>
          <w:szCs w:val="18"/>
          <w:lang w:val="pt-BR"/>
        </w:rPr>
        <w:t>(c)</w:t>
      </w:r>
      <w:r>
        <w:rPr>
          <w:rFonts w:ascii="Calibri" w:eastAsia="Calibri" w:hAnsi="Calibri" w:cs="Calibri"/>
          <w:szCs w:val="18"/>
          <w:lang w:val="pt-BR"/>
        </w:rPr>
        <w:tab/>
        <w:t>a capacidade de restaurar a disponibilidade e o acesso a Dados Pessoais em tempo hábil no caso de um incidente físico ou técnico e</w:t>
      </w:r>
    </w:p>
    <w:p w:rsidR="00335865" w:rsidRDefault="0014121B">
      <w:pPr>
        <w:pStyle w:val="ProductList-Body"/>
        <w:spacing w:after="120"/>
        <w:ind w:left="1440" w:hanging="720"/>
        <w:rPr>
          <w:rFonts w:cstheme="minorHAnsi"/>
          <w:szCs w:val="18"/>
          <w:lang w:val="pt-BR"/>
        </w:rPr>
      </w:pPr>
      <w:r>
        <w:rPr>
          <w:rFonts w:ascii="Calibri" w:eastAsia="Calibri" w:hAnsi="Calibri" w:cs="Calibri"/>
          <w:b/>
          <w:szCs w:val="18"/>
          <w:lang w:val="pt-BR"/>
        </w:rPr>
        <w:t>(d)</w:t>
      </w:r>
      <w:r>
        <w:rPr>
          <w:rFonts w:ascii="Calibri" w:eastAsia="Calibri" w:hAnsi="Calibri" w:cs="Calibri"/>
          <w:szCs w:val="18"/>
          <w:lang w:val="pt-BR"/>
        </w:rPr>
        <w:tab/>
        <w:t>um processo para testar, estimar e avaliar regularmente a eficácia das medidas técnicas e organizacionais para garantir a segurança do processamento. (Artigo 32(1))</w:t>
      </w:r>
    </w:p>
    <w:p w:rsidR="00335865" w:rsidRDefault="0014121B">
      <w:pPr>
        <w:pStyle w:val="ProductList-Body"/>
        <w:spacing w:after="120"/>
        <w:ind w:left="158"/>
        <w:rPr>
          <w:lang w:val="pt-BR"/>
        </w:rPr>
      </w:pPr>
      <w:r>
        <w:rPr>
          <w:rFonts w:ascii="Calibri" w:eastAsia="Calibri" w:hAnsi="Calibri" w:cs="Arial"/>
          <w:b/>
          <w:szCs w:val="18"/>
          <w:lang w:val="pt-BR"/>
        </w:rPr>
        <w:t>5.</w:t>
      </w:r>
      <w:r>
        <w:rPr>
          <w:rFonts w:ascii="Calibri" w:eastAsia="Calibri" w:hAnsi="Calibri" w:cs="Arial"/>
          <w:szCs w:val="18"/>
          <w:lang w:val="pt-BR"/>
        </w:rP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rsidR="00335865" w:rsidRDefault="0014121B">
      <w:pPr>
        <w:pStyle w:val="ProductList-Body"/>
        <w:spacing w:after="120"/>
        <w:ind w:left="158"/>
        <w:rPr>
          <w:lang w:val="pt-BR"/>
        </w:rPr>
      </w:pPr>
      <w:r>
        <w:rPr>
          <w:rFonts w:ascii="Calibri" w:eastAsia="Calibri" w:hAnsi="Calibri" w:cs="Arial"/>
          <w:b/>
          <w:szCs w:val="18"/>
          <w:lang w:val="pt-BR"/>
        </w:rPr>
        <w:t>6.</w:t>
      </w:r>
      <w:r>
        <w:rPr>
          <w:rFonts w:ascii="Calibri" w:eastAsia="Calibri" w:hAnsi="Calibri" w:cs="Arial"/>
          <w:szCs w:val="18"/>
          <w:lang w:val="pt-BR"/>
        </w:rP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rsidR="00335865" w:rsidRDefault="0014121B">
      <w:pPr>
        <w:pStyle w:val="ProductList-Body"/>
        <w:spacing w:after="120"/>
        <w:ind w:left="158"/>
        <w:rPr>
          <w:lang w:val="pt-BR"/>
        </w:rPr>
      </w:pPr>
      <w:r>
        <w:rPr>
          <w:rFonts w:ascii="Calibri" w:eastAsia="Calibri" w:hAnsi="Calibri" w:cs="Arial"/>
          <w:b/>
          <w:szCs w:val="18"/>
          <w:lang w:val="pt-BR"/>
        </w:rPr>
        <w:t>7.</w:t>
      </w:r>
      <w:r>
        <w:rPr>
          <w:rFonts w:ascii="Calibri" w:eastAsia="Calibri" w:hAnsi="Calibri" w:cs="Arial"/>
          <w:szCs w:val="18"/>
          <w:lang w:val="pt-BR"/>
        </w:rPr>
        <w:t xml:space="preserve"> Ao tomar ciência de uma violação de dados pessoais, a Microsoft deverá notificar o Cliente sem atraso indevido. (Artigo 33(2)). Essa notificação incluirá as informações que um processador deve fornecer a um controlador, de acordo com o Artigo 33 (3), na medida em que essas informações estejam razoavelmente disponíveis para a Microsoft. </w:t>
      </w:r>
    </w:p>
    <w:p w:rsidR="00335865" w:rsidRDefault="00335865">
      <w:pPr>
        <w:pStyle w:val="ProductList-Body"/>
        <w:rPr>
          <w:lang w:val="es-ES"/>
        </w:rPr>
      </w:pPr>
      <w:bookmarkStart w:id="29" w:name="_GoBack"/>
      <w:bookmarkEnd w:id="29"/>
    </w:p>
    <w:sectPr w:rsidR="00335865">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5865" w:rsidRDefault="0014121B">
      <w:pPr>
        <w:spacing w:after="0" w:line="240" w:lineRule="auto"/>
      </w:pPr>
      <w:r>
        <w:separator/>
      </w:r>
    </w:p>
  </w:endnote>
  <w:endnote w:type="continuationSeparator" w:id="0">
    <w:p w:rsidR="00335865" w:rsidRDefault="001412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395" w:rsidRDefault="007173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5865" w:rsidRDefault="0014121B">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335865" w:rsidRDefault="0014121B">
                          <w:pPr>
                            <w:spacing w:after="0"/>
                            <w:rPr>
                              <w:rFonts w:ascii="Calibri" w:hAnsi="Calibri" w:cs="Calibri"/>
                              <w:color w:val="000000"/>
                              <w:sz w:val="20"/>
                              <w:lang w:val="pt-BR"/>
                            </w:rPr>
                          </w:pPr>
                          <w:r>
                            <w:rPr>
                              <w:rFonts w:ascii="Calibri" w:eastAsia="Calibri" w:hAnsi="Calibri" w:cs="Calibri"/>
                              <w:color w:val="000000"/>
                              <w:sz w:val="20"/>
                              <w:szCs w:val="20"/>
                              <w:lang w:val="pt-BR"/>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335865" w:rsidRDefault="0014121B">
                    <w:pPr>
                      <w:spacing w:after="0"/>
                      <w:rPr>
                        <w:rFonts w:ascii="Calibri" w:hAnsi="Calibri" w:cs="Calibri"/>
                        <w:color w:val="000000"/>
                        <w:sz w:val="20"/>
                        <w:lang w:val="pt-BR"/>
                      </w:rPr>
                    </w:pPr>
                    <w:r>
                      <w:rPr>
                        <w:rFonts w:ascii="Calibri" w:eastAsia="Calibri" w:hAnsi="Calibri" w:cs="Calibri"/>
                        <w:color w:val="000000"/>
                        <w:sz w:val="20"/>
                        <w:szCs w:val="20"/>
                        <w:lang w:val="pt-BR"/>
                      </w:rPr>
                      <w:t>Classified as Microsoft Confidential</w:t>
                    </w:r>
                  </w:p>
                </w:txbxContent>
              </v:textbox>
              <w10:wrap anchorx="page" anchory="page"/>
            </v:shape>
          </w:pict>
        </mc:Fallback>
      </mc:AlternateContent>
    </w:r>
    <w:r>
      <w:rPr>
        <w:noProof/>
        <w:lang w:eastAsia="ja-JP"/>
      </w:rPr>
      <w:drawing>
        <wp:inline distT="0" distB="0" distL="0" distR="0">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910819"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5865" w:rsidRDefault="00335865">
    <w:pPr>
      <w:spacing w:after="0"/>
      <w:rPr>
        <w:rFonts w:ascii="Calibri" w:hAnsi="Calibri" w:cs="Calibri"/>
        <w:color w:val="000000"/>
        <w:sz w:val="20"/>
      </w:rPr>
    </w:pPr>
  </w:p>
  <w:p w:rsidR="00335865" w:rsidRDefault="0014121B">
    <w:pPr>
      <w:pStyle w:val="Footer"/>
      <w:rPr>
        <w:sz w:val="14"/>
        <w:szCs w:val="14"/>
      </w:rPr>
    </w:pPr>
    <w:r>
      <w:rPr>
        <w:noProof/>
        <w:lang w:eastAsia="ja-JP"/>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335865" w:rsidRDefault="0014121B">
                          <w:pPr>
                            <w:spacing w:after="0"/>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44529B" w:rsidRPr="0044529B" w:rsidRDefault="0044529B" w:rsidP="005723CA">
                    <w:pPr>
                      <w:spacing w:after="0"/>
                    </w:pPr>
                    <w:r w:rsidRPr="0044529B">
                      <w:rPr>
                        <w:rFonts w:ascii="Calibri" w:hAnsi="Calibri" w:cs="Calibri"/>
                        <w:color w:val="000000"/>
                        <w:sz w:val="20"/>
                      </w:rPr>
                      <w:t>Classified as Microsoft Confidential</w:t>
                    </w:r>
                  </w:p>
                </w:txbxContent>
              </v:textbox>
              <w10:wrap anchorx="page" anchory="page"/>
            </v:shape>
          </w:pict>
        </mc:Fallback>
      </mc:AlternateContent>
    </w:r>
    <w:r>
      <w:rPr>
        <w:noProof/>
        <w:lang w:eastAsia="ja-JP"/>
      </w:rPr>
      <w:drawing>
        <wp:inline distT="0" distB="0" distL="0" distR="0">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362786"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5865" w:rsidRDefault="0014121B">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2336"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335865" w:rsidRDefault="0014121B">
                          <w:pPr>
                            <w:spacing w:after="0"/>
                            <w:rPr>
                              <w:rFonts w:ascii="Calibri" w:hAnsi="Calibri" w:cs="Calibri"/>
                              <w:color w:val="000000"/>
                              <w:sz w:val="20"/>
                            </w:rPr>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44529B" w:rsidRPr="0044529B" w:rsidRDefault="0044529B" w:rsidP="00B0434E">
                    <w:pPr>
                      <w:spacing w:after="0"/>
                      <w:rPr>
                        <w:rFonts w:ascii="Calibri" w:hAnsi="Calibri" w:cs="Calibri"/>
                        <w:color w:val="000000"/>
                        <w:sz w:val="20"/>
                      </w:rPr>
                    </w:pPr>
                    <w:r w:rsidRPr="0044529B">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Portuguese (Brazil),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21</w:t>
        </w:r>
        <w:r>
          <w:rPr>
            <w:noProof/>
            <w:color w:val="404040" w:themeColor="text1" w:themeTint="BF"/>
            <w:sz w:val="16"/>
            <w:szCs w:val="16"/>
          </w:rPr>
          <w:fldChar w:fldCharType="end"/>
        </w:r>
      </w:sdtContent>
    </w:sdt>
  </w:p>
  <w:p w:rsidR="00335865" w:rsidRDefault="0033586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5865" w:rsidRDefault="0014121B">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4384"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335865" w:rsidRDefault="0014121B">
                          <w:pPr>
                            <w:spacing w:after="0"/>
                            <w:rPr>
                              <w:rFonts w:ascii="Calibri" w:hAnsi="Calibri" w:cs="Calibri"/>
                              <w:color w:val="000000"/>
                              <w:sz w:val="20"/>
                            </w:rPr>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44529B" w:rsidRPr="0044529B" w:rsidRDefault="0044529B" w:rsidP="00B0434E">
                    <w:pPr>
                      <w:spacing w:after="0"/>
                      <w:rPr>
                        <w:rFonts w:ascii="Calibri" w:hAnsi="Calibri" w:cs="Calibri"/>
                        <w:color w:val="000000"/>
                        <w:sz w:val="20"/>
                      </w:rPr>
                    </w:pPr>
                    <w:r w:rsidRPr="0044529B">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Portuguese (Brazil),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335865" w:rsidRDefault="00335865">
    <w:pPr>
      <w:pStyle w:val="Footer"/>
      <w:ind w:firstLine="720"/>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5865" w:rsidRDefault="0014121B">
      <w:pPr>
        <w:spacing w:after="0" w:line="240" w:lineRule="auto"/>
      </w:pPr>
      <w:r>
        <w:separator/>
      </w:r>
    </w:p>
  </w:footnote>
  <w:footnote w:type="continuationSeparator" w:id="0">
    <w:p w:rsidR="00335865" w:rsidRDefault="001412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395" w:rsidRDefault="007173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7395" w:rsidRDefault="0071739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5865" w:rsidRDefault="00335865">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68EC8C76">
      <w:start w:val="1"/>
      <w:numFmt w:val="bullet"/>
      <w:lvlText w:val=""/>
      <w:lvlJc w:val="left"/>
      <w:pPr>
        <w:ind w:left="720" w:hanging="360"/>
      </w:pPr>
      <w:rPr>
        <w:rFonts w:ascii="Symbol" w:hAnsi="Symbol" w:hint="default"/>
      </w:rPr>
    </w:lvl>
    <w:lvl w:ilvl="1" w:tplc="30E40A7C" w:tentative="1">
      <w:start w:val="1"/>
      <w:numFmt w:val="bullet"/>
      <w:lvlText w:val="o"/>
      <w:lvlJc w:val="left"/>
      <w:pPr>
        <w:ind w:left="1440" w:hanging="360"/>
      </w:pPr>
      <w:rPr>
        <w:rFonts w:ascii="Courier New" w:hAnsi="Courier New" w:cs="Courier New" w:hint="default"/>
      </w:rPr>
    </w:lvl>
    <w:lvl w:ilvl="2" w:tplc="99F60450" w:tentative="1">
      <w:start w:val="1"/>
      <w:numFmt w:val="bullet"/>
      <w:lvlText w:val=""/>
      <w:lvlJc w:val="left"/>
      <w:pPr>
        <w:ind w:left="2160" w:hanging="360"/>
      </w:pPr>
      <w:rPr>
        <w:rFonts w:ascii="Wingdings" w:hAnsi="Wingdings" w:hint="default"/>
      </w:rPr>
    </w:lvl>
    <w:lvl w:ilvl="3" w:tplc="E95610AE" w:tentative="1">
      <w:start w:val="1"/>
      <w:numFmt w:val="bullet"/>
      <w:lvlText w:val=""/>
      <w:lvlJc w:val="left"/>
      <w:pPr>
        <w:ind w:left="2880" w:hanging="360"/>
      </w:pPr>
      <w:rPr>
        <w:rFonts w:ascii="Symbol" w:hAnsi="Symbol" w:hint="default"/>
      </w:rPr>
    </w:lvl>
    <w:lvl w:ilvl="4" w:tplc="6298FA3E" w:tentative="1">
      <w:start w:val="1"/>
      <w:numFmt w:val="bullet"/>
      <w:lvlText w:val="o"/>
      <w:lvlJc w:val="left"/>
      <w:pPr>
        <w:ind w:left="3600" w:hanging="360"/>
      </w:pPr>
      <w:rPr>
        <w:rFonts w:ascii="Courier New" w:hAnsi="Courier New" w:cs="Courier New" w:hint="default"/>
      </w:rPr>
    </w:lvl>
    <w:lvl w:ilvl="5" w:tplc="B6765E34" w:tentative="1">
      <w:start w:val="1"/>
      <w:numFmt w:val="bullet"/>
      <w:lvlText w:val=""/>
      <w:lvlJc w:val="left"/>
      <w:pPr>
        <w:ind w:left="4320" w:hanging="360"/>
      </w:pPr>
      <w:rPr>
        <w:rFonts w:ascii="Wingdings" w:hAnsi="Wingdings" w:hint="default"/>
      </w:rPr>
    </w:lvl>
    <w:lvl w:ilvl="6" w:tplc="5276D262" w:tentative="1">
      <w:start w:val="1"/>
      <w:numFmt w:val="bullet"/>
      <w:lvlText w:val=""/>
      <w:lvlJc w:val="left"/>
      <w:pPr>
        <w:ind w:left="5040" w:hanging="360"/>
      </w:pPr>
      <w:rPr>
        <w:rFonts w:ascii="Symbol" w:hAnsi="Symbol" w:hint="default"/>
      </w:rPr>
    </w:lvl>
    <w:lvl w:ilvl="7" w:tplc="7CAAF128" w:tentative="1">
      <w:start w:val="1"/>
      <w:numFmt w:val="bullet"/>
      <w:lvlText w:val="o"/>
      <w:lvlJc w:val="left"/>
      <w:pPr>
        <w:ind w:left="5760" w:hanging="360"/>
      </w:pPr>
      <w:rPr>
        <w:rFonts w:ascii="Courier New" w:hAnsi="Courier New" w:cs="Courier New" w:hint="default"/>
      </w:rPr>
    </w:lvl>
    <w:lvl w:ilvl="8" w:tplc="0F0A592E"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F8ACAA48">
      <w:start w:val="1"/>
      <w:numFmt w:val="bullet"/>
      <w:lvlText w:val=""/>
      <w:lvlJc w:val="left"/>
      <w:pPr>
        <w:ind w:left="720" w:hanging="360"/>
      </w:pPr>
      <w:rPr>
        <w:rFonts w:ascii="Symbol" w:hAnsi="Symbol" w:hint="default"/>
      </w:rPr>
    </w:lvl>
    <w:lvl w:ilvl="1" w:tplc="096261B2" w:tentative="1">
      <w:start w:val="1"/>
      <w:numFmt w:val="bullet"/>
      <w:lvlText w:val="o"/>
      <w:lvlJc w:val="left"/>
      <w:pPr>
        <w:ind w:left="1440" w:hanging="360"/>
      </w:pPr>
      <w:rPr>
        <w:rFonts w:ascii="Courier New" w:hAnsi="Courier New" w:cs="Courier New" w:hint="default"/>
      </w:rPr>
    </w:lvl>
    <w:lvl w:ilvl="2" w:tplc="65E8152A" w:tentative="1">
      <w:start w:val="1"/>
      <w:numFmt w:val="bullet"/>
      <w:lvlText w:val=""/>
      <w:lvlJc w:val="left"/>
      <w:pPr>
        <w:ind w:left="2160" w:hanging="360"/>
      </w:pPr>
      <w:rPr>
        <w:rFonts w:ascii="Wingdings" w:hAnsi="Wingdings" w:hint="default"/>
      </w:rPr>
    </w:lvl>
    <w:lvl w:ilvl="3" w:tplc="6EDC8702" w:tentative="1">
      <w:start w:val="1"/>
      <w:numFmt w:val="bullet"/>
      <w:lvlText w:val=""/>
      <w:lvlJc w:val="left"/>
      <w:pPr>
        <w:ind w:left="2880" w:hanging="360"/>
      </w:pPr>
      <w:rPr>
        <w:rFonts w:ascii="Symbol" w:hAnsi="Symbol" w:hint="default"/>
      </w:rPr>
    </w:lvl>
    <w:lvl w:ilvl="4" w:tplc="D5EEC834" w:tentative="1">
      <w:start w:val="1"/>
      <w:numFmt w:val="bullet"/>
      <w:lvlText w:val="o"/>
      <w:lvlJc w:val="left"/>
      <w:pPr>
        <w:ind w:left="3600" w:hanging="360"/>
      </w:pPr>
      <w:rPr>
        <w:rFonts w:ascii="Courier New" w:hAnsi="Courier New" w:cs="Courier New" w:hint="default"/>
      </w:rPr>
    </w:lvl>
    <w:lvl w:ilvl="5" w:tplc="2584B2D0" w:tentative="1">
      <w:start w:val="1"/>
      <w:numFmt w:val="bullet"/>
      <w:lvlText w:val=""/>
      <w:lvlJc w:val="left"/>
      <w:pPr>
        <w:ind w:left="4320" w:hanging="360"/>
      </w:pPr>
      <w:rPr>
        <w:rFonts w:ascii="Wingdings" w:hAnsi="Wingdings" w:hint="default"/>
      </w:rPr>
    </w:lvl>
    <w:lvl w:ilvl="6" w:tplc="7AD6F454" w:tentative="1">
      <w:start w:val="1"/>
      <w:numFmt w:val="bullet"/>
      <w:lvlText w:val=""/>
      <w:lvlJc w:val="left"/>
      <w:pPr>
        <w:ind w:left="5040" w:hanging="360"/>
      </w:pPr>
      <w:rPr>
        <w:rFonts w:ascii="Symbol" w:hAnsi="Symbol" w:hint="default"/>
      </w:rPr>
    </w:lvl>
    <w:lvl w:ilvl="7" w:tplc="DD161D2E" w:tentative="1">
      <w:start w:val="1"/>
      <w:numFmt w:val="bullet"/>
      <w:lvlText w:val="o"/>
      <w:lvlJc w:val="left"/>
      <w:pPr>
        <w:ind w:left="5760" w:hanging="360"/>
      </w:pPr>
      <w:rPr>
        <w:rFonts w:ascii="Courier New" w:hAnsi="Courier New" w:cs="Courier New" w:hint="default"/>
      </w:rPr>
    </w:lvl>
    <w:lvl w:ilvl="8" w:tplc="CDD05820"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7C682A32">
      <w:start w:val="1"/>
      <w:numFmt w:val="bullet"/>
      <w:lvlText w:val=""/>
      <w:lvlJc w:val="left"/>
      <w:pPr>
        <w:ind w:left="720" w:hanging="360"/>
      </w:pPr>
      <w:rPr>
        <w:rFonts w:ascii="Symbol" w:hAnsi="Symbol" w:hint="default"/>
      </w:rPr>
    </w:lvl>
    <w:lvl w:ilvl="1" w:tplc="346ECFCE" w:tentative="1">
      <w:start w:val="1"/>
      <w:numFmt w:val="bullet"/>
      <w:lvlText w:val="o"/>
      <w:lvlJc w:val="left"/>
      <w:pPr>
        <w:ind w:left="1440" w:hanging="360"/>
      </w:pPr>
      <w:rPr>
        <w:rFonts w:ascii="Courier New" w:hAnsi="Courier New" w:cs="Courier New" w:hint="default"/>
      </w:rPr>
    </w:lvl>
    <w:lvl w:ilvl="2" w:tplc="AD226AF6" w:tentative="1">
      <w:start w:val="1"/>
      <w:numFmt w:val="bullet"/>
      <w:lvlText w:val=""/>
      <w:lvlJc w:val="left"/>
      <w:pPr>
        <w:ind w:left="2160" w:hanging="360"/>
      </w:pPr>
      <w:rPr>
        <w:rFonts w:ascii="Wingdings" w:hAnsi="Wingdings" w:hint="default"/>
      </w:rPr>
    </w:lvl>
    <w:lvl w:ilvl="3" w:tplc="D110DB20" w:tentative="1">
      <w:start w:val="1"/>
      <w:numFmt w:val="bullet"/>
      <w:lvlText w:val=""/>
      <w:lvlJc w:val="left"/>
      <w:pPr>
        <w:ind w:left="2880" w:hanging="360"/>
      </w:pPr>
      <w:rPr>
        <w:rFonts w:ascii="Symbol" w:hAnsi="Symbol" w:hint="default"/>
      </w:rPr>
    </w:lvl>
    <w:lvl w:ilvl="4" w:tplc="E6BC35C6" w:tentative="1">
      <w:start w:val="1"/>
      <w:numFmt w:val="bullet"/>
      <w:lvlText w:val="o"/>
      <w:lvlJc w:val="left"/>
      <w:pPr>
        <w:ind w:left="3600" w:hanging="360"/>
      </w:pPr>
      <w:rPr>
        <w:rFonts w:ascii="Courier New" w:hAnsi="Courier New" w:cs="Courier New" w:hint="default"/>
      </w:rPr>
    </w:lvl>
    <w:lvl w:ilvl="5" w:tplc="4EC2019E" w:tentative="1">
      <w:start w:val="1"/>
      <w:numFmt w:val="bullet"/>
      <w:lvlText w:val=""/>
      <w:lvlJc w:val="left"/>
      <w:pPr>
        <w:ind w:left="4320" w:hanging="360"/>
      </w:pPr>
      <w:rPr>
        <w:rFonts w:ascii="Wingdings" w:hAnsi="Wingdings" w:hint="default"/>
      </w:rPr>
    </w:lvl>
    <w:lvl w:ilvl="6" w:tplc="8C60C876" w:tentative="1">
      <w:start w:val="1"/>
      <w:numFmt w:val="bullet"/>
      <w:lvlText w:val=""/>
      <w:lvlJc w:val="left"/>
      <w:pPr>
        <w:ind w:left="5040" w:hanging="360"/>
      </w:pPr>
      <w:rPr>
        <w:rFonts w:ascii="Symbol" w:hAnsi="Symbol" w:hint="default"/>
      </w:rPr>
    </w:lvl>
    <w:lvl w:ilvl="7" w:tplc="091E0D7A" w:tentative="1">
      <w:start w:val="1"/>
      <w:numFmt w:val="bullet"/>
      <w:lvlText w:val="o"/>
      <w:lvlJc w:val="left"/>
      <w:pPr>
        <w:ind w:left="5760" w:hanging="360"/>
      </w:pPr>
      <w:rPr>
        <w:rFonts w:ascii="Courier New" w:hAnsi="Courier New" w:cs="Courier New" w:hint="default"/>
      </w:rPr>
    </w:lvl>
    <w:lvl w:ilvl="8" w:tplc="7194B5C6"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12CEE1AE">
      <w:start w:val="1"/>
      <w:numFmt w:val="bullet"/>
      <w:lvlText w:val=""/>
      <w:lvlJc w:val="left"/>
      <w:pPr>
        <w:ind w:left="900" w:hanging="360"/>
      </w:pPr>
      <w:rPr>
        <w:rFonts w:ascii="Symbol" w:hAnsi="Symbol" w:hint="default"/>
        <w:sz w:val="18"/>
      </w:rPr>
    </w:lvl>
    <w:lvl w:ilvl="1" w:tplc="76A87D2A" w:tentative="1">
      <w:start w:val="1"/>
      <w:numFmt w:val="bullet"/>
      <w:lvlText w:val="o"/>
      <w:lvlJc w:val="left"/>
      <w:pPr>
        <w:ind w:left="1620" w:hanging="360"/>
      </w:pPr>
      <w:rPr>
        <w:rFonts w:ascii="Courier New" w:hAnsi="Courier New" w:cs="Courier New" w:hint="default"/>
      </w:rPr>
    </w:lvl>
    <w:lvl w:ilvl="2" w:tplc="5998A3D4" w:tentative="1">
      <w:start w:val="1"/>
      <w:numFmt w:val="bullet"/>
      <w:lvlText w:val=""/>
      <w:lvlJc w:val="left"/>
      <w:pPr>
        <w:ind w:left="2340" w:hanging="360"/>
      </w:pPr>
      <w:rPr>
        <w:rFonts w:ascii="Wingdings" w:hAnsi="Wingdings" w:hint="default"/>
      </w:rPr>
    </w:lvl>
    <w:lvl w:ilvl="3" w:tplc="8CDC7E0A" w:tentative="1">
      <w:start w:val="1"/>
      <w:numFmt w:val="bullet"/>
      <w:lvlText w:val=""/>
      <w:lvlJc w:val="left"/>
      <w:pPr>
        <w:ind w:left="3060" w:hanging="360"/>
      </w:pPr>
      <w:rPr>
        <w:rFonts w:ascii="Symbol" w:hAnsi="Symbol" w:hint="default"/>
      </w:rPr>
    </w:lvl>
    <w:lvl w:ilvl="4" w:tplc="EA623B92" w:tentative="1">
      <w:start w:val="1"/>
      <w:numFmt w:val="bullet"/>
      <w:lvlText w:val="o"/>
      <w:lvlJc w:val="left"/>
      <w:pPr>
        <w:ind w:left="3780" w:hanging="360"/>
      </w:pPr>
      <w:rPr>
        <w:rFonts w:ascii="Courier New" w:hAnsi="Courier New" w:cs="Courier New" w:hint="default"/>
      </w:rPr>
    </w:lvl>
    <w:lvl w:ilvl="5" w:tplc="D8F486E4" w:tentative="1">
      <w:start w:val="1"/>
      <w:numFmt w:val="bullet"/>
      <w:lvlText w:val=""/>
      <w:lvlJc w:val="left"/>
      <w:pPr>
        <w:ind w:left="4500" w:hanging="360"/>
      </w:pPr>
      <w:rPr>
        <w:rFonts w:ascii="Wingdings" w:hAnsi="Wingdings" w:hint="default"/>
      </w:rPr>
    </w:lvl>
    <w:lvl w:ilvl="6" w:tplc="43D23D7E" w:tentative="1">
      <w:start w:val="1"/>
      <w:numFmt w:val="bullet"/>
      <w:lvlText w:val=""/>
      <w:lvlJc w:val="left"/>
      <w:pPr>
        <w:ind w:left="5220" w:hanging="360"/>
      </w:pPr>
      <w:rPr>
        <w:rFonts w:ascii="Symbol" w:hAnsi="Symbol" w:hint="default"/>
      </w:rPr>
    </w:lvl>
    <w:lvl w:ilvl="7" w:tplc="5CAE1470" w:tentative="1">
      <w:start w:val="1"/>
      <w:numFmt w:val="bullet"/>
      <w:lvlText w:val="o"/>
      <w:lvlJc w:val="left"/>
      <w:pPr>
        <w:ind w:left="5940" w:hanging="360"/>
      </w:pPr>
      <w:rPr>
        <w:rFonts w:ascii="Courier New" w:hAnsi="Courier New" w:cs="Courier New" w:hint="default"/>
      </w:rPr>
    </w:lvl>
    <w:lvl w:ilvl="8" w:tplc="61E86306"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C5B65062">
      <w:start w:val="1"/>
      <w:numFmt w:val="bullet"/>
      <w:lvlText w:val=""/>
      <w:lvlJc w:val="left"/>
      <w:pPr>
        <w:ind w:left="720" w:hanging="360"/>
      </w:pPr>
      <w:rPr>
        <w:rFonts w:ascii="Symbol" w:hAnsi="Symbol" w:hint="default"/>
      </w:rPr>
    </w:lvl>
    <w:lvl w:ilvl="1" w:tplc="1AA0F0E4" w:tentative="1">
      <w:start w:val="1"/>
      <w:numFmt w:val="bullet"/>
      <w:lvlText w:val="o"/>
      <w:lvlJc w:val="left"/>
      <w:pPr>
        <w:ind w:left="1440" w:hanging="360"/>
      </w:pPr>
      <w:rPr>
        <w:rFonts w:ascii="Courier New" w:hAnsi="Courier New" w:cs="Courier New" w:hint="default"/>
      </w:rPr>
    </w:lvl>
    <w:lvl w:ilvl="2" w:tplc="0706BD18" w:tentative="1">
      <w:start w:val="1"/>
      <w:numFmt w:val="bullet"/>
      <w:lvlText w:val=""/>
      <w:lvlJc w:val="left"/>
      <w:pPr>
        <w:ind w:left="2160" w:hanging="360"/>
      </w:pPr>
      <w:rPr>
        <w:rFonts w:ascii="Wingdings" w:hAnsi="Wingdings" w:hint="default"/>
      </w:rPr>
    </w:lvl>
    <w:lvl w:ilvl="3" w:tplc="E9249364" w:tentative="1">
      <w:start w:val="1"/>
      <w:numFmt w:val="bullet"/>
      <w:lvlText w:val=""/>
      <w:lvlJc w:val="left"/>
      <w:pPr>
        <w:ind w:left="2880" w:hanging="360"/>
      </w:pPr>
      <w:rPr>
        <w:rFonts w:ascii="Symbol" w:hAnsi="Symbol" w:hint="default"/>
      </w:rPr>
    </w:lvl>
    <w:lvl w:ilvl="4" w:tplc="D7185534" w:tentative="1">
      <w:start w:val="1"/>
      <w:numFmt w:val="bullet"/>
      <w:lvlText w:val="o"/>
      <w:lvlJc w:val="left"/>
      <w:pPr>
        <w:ind w:left="3600" w:hanging="360"/>
      </w:pPr>
      <w:rPr>
        <w:rFonts w:ascii="Courier New" w:hAnsi="Courier New" w:cs="Courier New" w:hint="default"/>
      </w:rPr>
    </w:lvl>
    <w:lvl w:ilvl="5" w:tplc="3B743A9E" w:tentative="1">
      <w:start w:val="1"/>
      <w:numFmt w:val="bullet"/>
      <w:lvlText w:val=""/>
      <w:lvlJc w:val="left"/>
      <w:pPr>
        <w:ind w:left="4320" w:hanging="360"/>
      </w:pPr>
      <w:rPr>
        <w:rFonts w:ascii="Wingdings" w:hAnsi="Wingdings" w:hint="default"/>
      </w:rPr>
    </w:lvl>
    <w:lvl w:ilvl="6" w:tplc="48B601DE" w:tentative="1">
      <w:start w:val="1"/>
      <w:numFmt w:val="bullet"/>
      <w:lvlText w:val=""/>
      <w:lvlJc w:val="left"/>
      <w:pPr>
        <w:ind w:left="5040" w:hanging="360"/>
      </w:pPr>
      <w:rPr>
        <w:rFonts w:ascii="Symbol" w:hAnsi="Symbol" w:hint="default"/>
      </w:rPr>
    </w:lvl>
    <w:lvl w:ilvl="7" w:tplc="0BECAA7C" w:tentative="1">
      <w:start w:val="1"/>
      <w:numFmt w:val="bullet"/>
      <w:lvlText w:val="o"/>
      <w:lvlJc w:val="left"/>
      <w:pPr>
        <w:ind w:left="5760" w:hanging="360"/>
      </w:pPr>
      <w:rPr>
        <w:rFonts w:ascii="Courier New" w:hAnsi="Courier New" w:cs="Courier New" w:hint="default"/>
      </w:rPr>
    </w:lvl>
    <w:lvl w:ilvl="8" w:tplc="F752C578"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B3A407D2">
      <w:start w:val="1"/>
      <w:numFmt w:val="bullet"/>
      <w:lvlText w:val=""/>
      <w:lvlJc w:val="left"/>
      <w:pPr>
        <w:ind w:left="720" w:hanging="360"/>
      </w:pPr>
      <w:rPr>
        <w:rFonts w:ascii="Symbol" w:hAnsi="Symbol" w:hint="default"/>
        <w:sz w:val="18"/>
      </w:rPr>
    </w:lvl>
    <w:lvl w:ilvl="1" w:tplc="7C72C340" w:tentative="1">
      <w:start w:val="1"/>
      <w:numFmt w:val="bullet"/>
      <w:lvlText w:val="o"/>
      <w:lvlJc w:val="left"/>
      <w:pPr>
        <w:ind w:left="1440" w:hanging="360"/>
      </w:pPr>
      <w:rPr>
        <w:rFonts w:ascii="Courier New" w:hAnsi="Courier New" w:cs="Courier New" w:hint="default"/>
      </w:rPr>
    </w:lvl>
    <w:lvl w:ilvl="2" w:tplc="153C0C5E" w:tentative="1">
      <w:start w:val="1"/>
      <w:numFmt w:val="bullet"/>
      <w:lvlText w:val=""/>
      <w:lvlJc w:val="left"/>
      <w:pPr>
        <w:ind w:left="2160" w:hanging="360"/>
      </w:pPr>
      <w:rPr>
        <w:rFonts w:ascii="Wingdings" w:hAnsi="Wingdings" w:hint="default"/>
      </w:rPr>
    </w:lvl>
    <w:lvl w:ilvl="3" w:tplc="DE9CBF0C" w:tentative="1">
      <w:start w:val="1"/>
      <w:numFmt w:val="bullet"/>
      <w:lvlText w:val=""/>
      <w:lvlJc w:val="left"/>
      <w:pPr>
        <w:ind w:left="2880" w:hanging="360"/>
      </w:pPr>
      <w:rPr>
        <w:rFonts w:ascii="Symbol" w:hAnsi="Symbol" w:hint="default"/>
      </w:rPr>
    </w:lvl>
    <w:lvl w:ilvl="4" w:tplc="C20A8A8E" w:tentative="1">
      <w:start w:val="1"/>
      <w:numFmt w:val="bullet"/>
      <w:lvlText w:val="o"/>
      <w:lvlJc w:val="left"/>
      <w:pPr>
        <w:ind w:left="3600" w:hanging="360"/>
      </w:pPr>
      <w:rPr>
        <w:rFonts w:ascii="Courier New" w:hAnsi="Courier New" w:cs="Courier New" w:hint="default"/>
      </w:rPr>
    </w:lvl>
    <w:lvl w:ilvl="5" w:tplc="EE56F100" w:tentative="1">
      <w:start w:val="1"/>
      <w:numFmt w:val="bullet"/>
      <w:lvlText w:val=""/>
      <w:lvlJc w:val="left"/>
      <w:pPr>
        <w:ind w:left="4320" w:hanging="360"/>
      </w:pPr>
      <w:rPr>
        <w:rFonts w:ascii="Wingdings" w:hAnsi="Wingdings" w:hint="default"/>
      </w:rPr>
    </w:lvl>
    <w:lvl w:ilvl="6" w:tplc="15468A10" w:tentative="1">
      <w:start w:val="1"/>
      <w:numFmt w:val="bullet"/>
      <w:lvlText w:val=""/>
      <w:lvlJc w:val="left"/>
      <w:pPr>
        <w:ind w:left="5040" w:hanging="360"/>
      </w:pPr>
      <w:rPr>
        <w:rFonts w:ascii="Symbol" w:hAnsi="Symbol" w:hint="default"/>
      </w:rPr>
    </w:lvl>
    <w:lvl w:ilvl="7" w:tplc="28906148" w:tentative="1">
      <w:start w:val="1"/>
      <w:numFmt w:val="bullet"/>
      <w:lvlText w:val="o"/>
      <w:lvlJc w:val="left"/>
      <w:pPr>
        <w:ind w:left="5760" w:hanging="360"/>
      </w:pPr>
      <w:rPr>
        <w:rFonts w:ascii="Courier New" w:hAnsi="Courier New" w:cs="Courier New" w:hint="default"/>
      </w:rPr>
    </w:lvl>
    <w:lvl w:ilvl="8" w:tplc="7DCC71CC"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79BA5FB6">
      <w:start w:val="1"/>
      <w:numFmt w:val="bullet"/>
      <w:lvlText w:val="o"/>
      <w:lvlJc w:val="left"/>
      <w:pPr>
        <w:ind w:left="900" w:hanging="360"/>
      </w:pPr>
      <w:rPr>
        <w:rFonts w:ascii="Courier New" w:hAnsi="Courier New" w:hint="default"/>
      </w:rPr>
    </w:lvl>
    <w:lvl w:ilvl="1" w:tplc="1F9605E2" w:tentative="1">
      <w:start w:val="1"/>
      <w:numFmt w:val="bullet"/>
      <w:lvlText w:val="o"/>
      <w:lvlJc w:val="left"/>
      <w:pPr>
        <w:ind w:left="1620" w:hanging="360"/>
      </w:pPr>
      <w:rPr>
        <w:rFonts w:ascii="Courier New" w:hAnsi="Courier New" w:cs="Courier New" w:hint="default"/>
      </w:rPr>
    </w:lvl>
    <w:lvl w:ilvl="2" w:tplc="E7543EA2" w:tentative="1">
      <w:start w:val="1"/>
      <w:numFmt w:val="bullet"/>
      <w:lvlText w:val=""/>
      <w:lvlJc w:val="left"/>
      <w:pPr>
        <w:ind w:left="2340" w:hanging="360"/>
      </w:pPr>
      <w:rPr>
        <w:rFonts w:ascii="Wingdings" w:hAnsi="Wingdings" w:hint="default"/>
      </w:rPr>
    </w:lvl>
    <w:lvl w:ilvl="3" w:tplc="27C4F7CE" w:tentative="1">
      <w:start w:val="1"/>
      <w:numFmt w:val="bullet"/>
      <w:lvlText w:val=""/>
      <w:lvlJc w:val="left"/>
      <w:pPr>
        <w:ind w:left="3060" w:hanging="360"/>
      </w:pPr>
      <w:rPr>
        <w:rFonts w:ascii="Symbol" w:hAnsi="Symbol" w:hint="default"/>
      </w:rPr>
    </w:lvl>
    <w:lvl w:ilvl="4" w:tplc="2DDEF2BE" w:tentative="1">
      <w:start w:val="1"/>
      <w:numFmt w:val="bullet"/>
      <w:lvlText w:val="o"/>
      <w:lvlJc w:val="left"/>
      <w:pPr>
        <w:ind w:left="3780" w:hanging="360"/>
      </w:pPr>
      <w:rPr>
        <w:rFonts w:ascii="Courier New" w:hAnsi="Courier New" w:cs="Courier New" w:hint="default"/>
      </w:rPr>
    </w:lvl>
    <w:lvl w:ilvl="5" w:tplc="213C595E" w:tentative="1">
      <w:start w:val="1"/>
      <w:numFmt w:val="bullet"/>
      <w:lvlText w:val=""/>
      <w:lvlJc w:val="left"/>
      <w:pPr>
        <w:ind w:left="4500" w:hanging="360"/>
      </w:pPr>
      <w:rPr>
        <w:rFonts w:ascii="Wingdings" w:hAnsi="Wingdings" w:hint="default"/>
      </w:rPr>
    </w:lvl>
    <w:lvl w:ilvl="6" w:tplc="F0D8446C" w:tentative="1">
      <w:start w:val="1"/>
      <w:numFmt w:val="bullet"/>
      <w:lvlText w:val=""/>
      <w:lvlJc w:val="left"/>
      <w:pPr>
        <w:ind w:left="5220" w:hanging="360"/>
      </w:pPr>
      <w:rPr>
        <w:rFonts w:ascii="Symbol" w:hAnsi="Symbol" w:hint="default"/>
      </w:rPr>
    </w:lvl>
    <w:lvl w:ilvl="7" w:tplc="39AAC2A4" w:tentative="1">
      <w:start w:val="1"/>
      <w:numFmt w:val="bullet"/>
      <w:lvlText w:val="o"/>
      <w:lvlJc w:val="left"/>
      <w:pPr>
        <w:ind w:left="5940" w:hanging="360"/>
      </w:pPr>
      <w:rPr>
        <w:rFonts w:ascii="Courier New" w:hAnsi="Courier New" w:cs="Courier New" w:hint="default"/>
      </w:rPr>
    </w:lvl>
    <w:lvl w:ilvl="8" w:tplc="96E0A6CA"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E78A39D8">
      <w:start w:val="1"/>
      <w:numFmt w:val="bullet"/>
      <w:lvlText w:val=""/>
      <w:lvlJc w:val="left"/>
      <w:pPr>
        <w:ind w:left="720" w:hanging="360"/>
      </w:pPr>
      <w:rPr>
        <w:rFonts w:ascii="Symbol" w:hAnsi="Symbol" w:hint="default"/>
      </w:rPr>
    </w:lvl>
    <w:lvl w:ilvl="1" w:tplc="621E88DA" w:tentative="1">
      <w:start w:val="1"/>
      <w:numFmt w:val="bullet"/>
      <w:lvlText w:val="o"/>
      <w:lvlJc w:val="left"/>
      <w:pPr>
        <w:ind w:left="1440" w:hanging="360"/>
      </w:pPr>
      <w:rPr>
        <w:rFonts w:ascii="Courier New" w:hAnsi="Courier New" w:cs="Courier New" w:hint="default"/>
      </w:rPr>
    </w:lvl>
    <w:lvl w:ilvl="2" w:tplc="819CE4FA" w:tentative="1">
      <w:start w:val="1"/>
      <w:numFmt w:val="bullet"/>
      <w:lvlText w:val=""/>
      <w:lvlJc w:val="left"/>
      <w:pPr>
        <w:ind w:left="2160" w:hanging="360"/>
      </w:pPr>
      <w:rPr>
        <w:rFonts w:ascii="Wingdings" w:hAnsi="Wingdings" w:hint="default"/>
      </w:rPr>
    </w:lvl>
    <w:lvl w:ilvl="3" w:tplc="E7DED8CE" w:tentative="1">
      <w:start w:val="1"/>
      <w:numFmt w:val="bullet"/>
      <w:lvlText w:val=""/>
      <w:lvlJc w:val="left"/>
      <w:pPr>
        <w:ind w:left="2880" w:hanging="360"/>
      </w:pPr>
      <w:rPr>
        <w:rFonts w:ascii="Symbol" w:hAnsi="Symbol" w:hint="default"/>
      </w:rPr>
    </w:lvl>
    <w:lvl w:ilvl="4" w:tplc="0680C41E" w:tentative="1">
      <w:start w:val="1"/>
      <w:numFmt w:val="bullet"/>
      <w:lvlText w:val="o"/>
      <w:lvlJc w:val="left"/>
      <w:pPr>
        <w:ind w:left="3600" w:hanging="360"/>
      </w:pPr>
      <w:rPr>
        <w:rFonts w:ascii="Courier New" w:hAnsi="Courier New" w:cs="Courier New" w:hint="default"/>
      </w:rPr>
    </w:lvl>
    <w:lvl w:ilvl="5" w:tplc="36A4B500" w:tentative="1">
      <w:start w:val="1"/>
      <w:numFmt w:val="bullet"/>
      <w:lvlText w:val=""/>
      <w:lvlJc w:val="left"/>
      <w:pPr>
        <w:ind w:left="4320" w:hanging="360"/>
      </w:pPr>
      <w:rPr>
        <w:rFonts w:ascii="Wingdings" w:hAnsi="Wingdings" w:hint="default"/>
      </w:rPr>
    </w:lvl>
    <w:lvl w:ilvl="6" w:tplc="4F164EA2" w:tentative="1">
      <w:start w:val="1"/>
      <w:numFmt w:val="bullet"/>
      <w:lvlText w:val=""/>
      <w:lvlJc w:val="left"/>
      <w:pPr>
        <w:ind w:left="5040" w:hanging="360"/>
      </w:pPr>
      <w:rPr>
        <w:rFonts w:ascii="Symbol" w:hAnsi="Symbol" w:hint="default"/>
      </w:rPr>
    </w:lvl>
    <w:lvl w:ilvl="7" w:tplc="16645258" w:tentative="1">
      <w:start w:val="1"/>
      <w:numFmt w:val="bullet"/>
      <w:lvlText w:val="o"/>
      <w:lvlJc w:val="left"/>
      <w:pPr>
        <w:ind w:left="5760" w:hanging="360"/>
      </w:pPr>
      <w:rPr>
        <w:rFonts w:ascii="Courier New" w:hAnsi="Courier New" w:cs="Courier New" w:hint="default"/>
      </w:rPr>
    </w:lvl>
    <w:lvl w:ilvl="8" w:tplc="6E147BB4"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843EAAF6">
      <w:start w:val="1"/>
      <w:numFmt w:val="bullet"/>
      <w:lvlText w:val=""/>
      <w:lvlJc w:val="left"/>
      <w:pPr>
        <w:ind w:left="720" w:hanging="360"/>
      </w:pPr>
      <w:rPr>
        <w:rFonts w:ascii="Symbol" w:hAnsi="Symbol" w:hint="default"/>
      </w:rPr>
    </w:lvl>
    <w:lvl w:ilvl="1" w:tplc="355C7C9C" w:tentative="1">
      <w:start w:val="1"/>
      <w:numFmt w:val="bullet"/>
      <w:lvlText w:val="o"/>
      <w:lvlJc w:val="left"/>
      <w:pPr>
        <w:ind w:left="1440" w:hanging="360"/>
      </w:pPr>
      <w:rPr>
        <w:rFonts w:ascii="Courier New" w:hAnsi="Courier New" w:cs="Courier New" w:hint="default"/>
      </w:rPr>
    </w:lvl>
    <w:lvl w:ilvl="2" w:tplc="FA949FEE" w:tentative="1">
      <w:start w:val="1"/>
      <w:numFmt w:val="bullet"/>
      <w:lvlText w:val=""/>
      <w:lvlJc w:val="left"/>
      <w:pPr>
        <w:ind w:left="2160" w:hanging="360"/>
      </w:pPr>
      <w:rPr>
        <w:rFonts w:ascii="Wingdings" w:hAnsi="Wingdings" w:hint="default"/>
      </w:rPr>
    </w:lvl>
    <w:lvl w:ilvl="3" w:tplc="04A6AC50" w:tentative="1">
      <w:start w:val="1"/>
      <w:numFmt w:val="bullet"/>
      <w:lvlText w:val=""/>
      <w:lvlJc w:val="left"/>
      <w:pPr>
        <w:ind w:left="2880" w:hanging="360"/>
      </w:pPr>
      <w:rPr>
        <w:rFonts w:ascii="Symbol" w:hAnsi="Symbol" w:hint="default"/>
      </w:rPr>
    </w:lvl>
    <w:lvl w:ilvl="4" w:tplc="F4AE7B90" w:tentative="1">
      <w:start w:val="1"/>
      <w:numFmt w:val="bullet"/>
      <w:lvlText w:val="o"/>
      <w:lvlJc w:val="left"/>
      <w:pPr>
        <w:ind w:left="3600" w:hanging="360"/>
      </w:pPr>
      <w:rPr>
        <w:rFonts w:ascii="Courier New" w:hAnsi="Courier New" w:cs="Courier New" w:hint="default"/>
      </w:rPr>
    </w:lvl>
    <w:lvl w:ilvl="5" w:tplc="E0B2ABA2" w:tentative="1">
      <w:start w:val="1"/>
      <w:numFmt w:val="bullet"/>
      <w:lvlText w:val=""/>
      <w:lvlJc w:val="left"/>
      <w:pPr>
        <w:ind w:left="4320" w:hanging="360"/>
      </w:pPr>
      <w:rPr>
        <w:rFonts w:ascii="Wingdings" w:hAnsi="Wingdings" w:hint="default"/>
      </w:rPr>
    </w:lvl>
    <w:lvl w:ilvl="6" w:tplc="F000F126" w:tentative="1">
      <w:start w:val="1"/>
      <w:numFmt w:val="bullet"/>
      <w:lvlText w:val=""/>
      <w:lvlJc w:val="left"/>
      <w:pPr>
        <w:ind w:left="5040" w:hanging="360"/>
      </w:pPr>
      <w:rPr>
        <w:rFonts w:ascii="Symbol" w:hAnsi="Symbol" w:hint="default"/>
      </w:rPr>
    </w:lvl>
    <w:lvl w:ilvl="7" w:tplc="D30E37D8" w:tentative="1">
      <w:start w:val="1"/>
      <w:numFmt w:val="bullet"/>
      <w:lvlText w:val="o"/>
      <w:lvlJc w:val="left"/>
      <w:pPr>
        <w:ind w:left="5760" w:hanging="360"/>
      </w:pPr>
      <w:rPr>
        <w:rFonts w:ascii="Courier New" w:hAnsi="Courier New" w:cs="Courier New" w:hint="default"/>
      </w:rPr>
    </w:lvl>
    <w:lvl w:ilvl="8" w:tplc="C2B40564"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277C0FE6">
      <w:start w:val="1"/>
      <w:numFmt w:val="bullet"/>
      <w:lvlText w:val=""/>
      <w:lvlJc w:val="left"/>
      <w:pPr>
        <w:ind w:left="720" w:hanging="360"/>
      </w:pPr>
      <w:rPr>
        <w:rFonts w:ascii="Symbol" w:hAnsi="Symbol" w:hint="default"/>
      </w:rPr>
    </w:lvl>
    <w:lvl w:ilvl="1" w:tplc="2B8AC564" w:tentative="1">
      <w:start w:val="1"/>
      <w:numFmt w:val="bullet"/>
      <w:lvlText w:val="o"/>
      <w:lvlJc w:val="left"/>
      <w:pPr>
        <w:ind w:left="1440" w:hanging="360"/>
      </w:pPr>
      <w:rPr>
        <w:rFonts w:ascii="Courier New" w:hAnsi="Courier New" w:cs="Courier New" w:hint="default"/>
      </w:rPr>
    </w:lvl>
    <w:lvl w:ilvl="2" w:tplc="282A4264" w:tentative="1">
      <w:start w:val="1"/>
      <w:numFmt w:val="bullet"/>
      <w:lvlText w:val=""/>
      <w:lvlJc w:val="left"/>
      <w:pPr>
        <w:ind w:left="2160" w:hanging="360"/>
      </w:pPr>
      <w:rPr>
        <w:rFonts w:ascii="Wingdings" w:hAnsi="Wingdings" w:hint="default"/>
      </w:rPr>
    </w:lvl>
    <w:lvl w:ilvl="3" w:tplc="5A2CB540" w:tentative="1">
      <w:start w:val="1"/>
      <w:numFmt w:val="bullet"/>
      <w:lvlText w:val=""/>
      <w:lvlJc w:val="left"/>
      <w:pPr>
        <w:ind w:left="2880" w:hanging="360"/>
      </w:pPr>
      <w:rPr>
        <w:rFonts w:ascii="Symbol" w:hAnsi="Symbol" w:hint="default"/>
      </w:rPr>
    </w:lvl>
    <w:lvl w:ilvl="4" w:tplc="C524A778" w:tentative="1">
      <w:start w:val="1"/>
      <w:numFmt w:val="bullet"/>
      <w:lvlText w:val="o"/>
      <w:lvlJc w:val="left"/>
      <w:pPr>
        <w:ind w:left="3600" w:hanging="360"/>
      </w:pPr>
      <w:rPr>
        <w:rFonts w:ascii="Courier New" w:hAnsi="Courier New" w:cs="Courier New" w:hint="default"/>
      </w:rPr>
    </w:lvl>
    <w:lvl w:ilvl="5" w:tplc="378A2CE2" w:tentative="1">
      <w:start w:val="1"/>
      <w:numFmt w:val="bullet"/>
      <w:lvlText w:val=""/>
      <w:lvlJc w:val="left"/>
      <w:pPr>
        <w:ind w:left="4320" w:hanging="360"/>
      </w:pPr>
      <w:rPr>
        <w:rFonts w:ascii="Wingdings" w:hAnsi="Wingdings" w:hint="default"/>
      </w:rPr>
    </w:lvl>
    <w:lvl w:ilvl="6" w:tplc="35FE9846" w:tentative="1">
      <w:start w:val="1"/>
      <w:numFmt w:val="bullet"/>
      <w:lvlText w:val=""/>
      <w:lvlJc w:val="left"/>
      <w:pPr>
        <w:ind w:left="5040" w:hanging="360"/>
      </w:pPr>
      <w:rPr>
        <w:rFonts w:ascii="Symbol" w:hAnsi="Symbol" w:hint="default"/>
      </w:rPr>
    </w:lvl>
    <w:lvl w:ilvl="7" w:tplc="2C3A193A" w:tentative="1">
      <w:start w:val="1"/>
      <w:numFmt w:val="bullet"/>
      <w:lvlText w:val="o"/>
      <w:lvlJc w:val="left"/>
      <w:pPr>
        <w:ind w:left="5760" w:hanging="360"/>
      </w:pPr>
      <w:rPr>
        <w:rFonts w:ascii="Courier New" w:hAnsi="Courier New" w:cs="Courier New" w:hint="default"/>
      </w:rPr>
    </w:lvl>
    <w:lvl w:ilvl="8" w:tplc="1D22F120"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148A7A8A">
      <w:start w:val="1"/>
      <w:numFmt w:val="bullet"/>
      <w:lvlText w:val=""/>
      <w:lvlJc w:val="left"/>
      <w:pPr>
        <w:ind w:left="720" w:hanging="360"/>
      </w:pPr>
      <w:rPr>
        <w:rFonts w:ascii="Symbol" w:hAnsi="Symbol" w:hint="default"/>
      </w:rPr>
    </w:lvl>
    <w:lvl w:ilvl="1" w:tplc="69A8B5CE">
      <w:start w:val="1"/>
      <w:numFmt w:val="bullet"/>
      <w:lvlText w:val="o"/>
      <w:lvlJc w:val="left"/>
      <w:pPr>
        <w:ind w:left="1440" w:hanging="360"/>
      </w:pPr>
      <w:rPr>
        <w:rFonts w:ascii="Courier New" w:hAnsi="Courier New" w:cs="Courier New" w:hint="default"/>
      </w:rPr>
    </w:lvl>
    <w:lvl w:ilvl="2" w:tplc="32B48816" w:tentative="1">
      <w:start w:val="1"/>
      <w:numFmt w:val="bullet"/>
      <w:lvlText w:val=""/>
      <w:lvlJc w:val="left"/>
      <w:pPr>
        <w:ind w:left="2160" w:hanging="360"/>
      </w:pPr>
      <w:rPr>
        <w:rFonts w:ascii="Wingdings" w:hAnsi="Wingdings" w:hint="default"/>
      </w:rPr>
    </w:lvl>
    <w:lvl w:ilvl="3" w:tplc="349A827C" w:tentative="1">
      <w:start w:val="1"/>
      <w:numFmt w:val="bullet"/>
      <w:lvlText w:val=""/>
      <w:lvlJc w:val="left"/>
      <w:pPr>
        <w:ind w:left="2880" w:hanging="360"/>
      </w:pPr>
      <w:rPr>
        <w:rFonts w:ascii="Symbol" w:hAnsi="Symbol" w:hint="default"/>
      </w:rPr>
    </w:lvl>
    <w:lvl w:ilvl="4" w:tplc="2D1E5386" w:tentative="1">
      <w:start w:val="1"/>
      <w:numFmt w:val="bullet"/>
      <w:lvlText w:val="o"/>
      <w:lvlJc w:val="left"/>
      <w:pPr>
        <w:ind w:left="3600" w:hanging="360"/>
      </w:pPr>
      <w:rPr>
        <w:rFonts w:ascii="Courier New" w:hAnsi="Courier New" w:cs="Courier New" w:hint="default"/>
      </w:rPr>
    </w:lvl>
    <w:lvl w:ilvl="5" w:tplc="D046AB76" w:tentative="1">
      <w:start w:val="1"/>
      <w:numFmt w:val="bullet"/>
      <w:lvlText w:val=""/>
      <w:lvlJc w:val="left"/>
      <w:pPr>
        <w:ind w:left="4320" w:hanging="360"/>
      </w:pPr>
      <w:rPr>
        <w:rFonts w:ascii="Wingdings" w:hAnsi="Wingdings" w:hint="default"/>
      </w:rPr>
    </w:lvl>
    <w:lvl w:ilvl="6" w:tplc="76007E1C" w:tentative="1">
      <w:start w:val="1"/>
      <w:numFmt w:val="bullet"/>
      <w:lvlText w:val=""/>
      <w:lvlJc w:val="left"/>
      <w:pPr>
        <w:ind w:left="5040" w:hanging="360"/>
      </w:pPr>
      <w:rPr>
        <w:rFonts w:ascii="Symbol" w:hAnsi="Symbol" w:hint="default"/>
      </w:rPr>
    </w:lvl>
    <w:lvl w:ilvl="7" w:tplc="9F76F774" w:tentative="1">
      <w:start w:val="1"/>
      <w:numFmt w:val="bullet"/>
      <w:lvlText w:val="o"/>
      <w:lvlJc w:val="left"/>
      <w:pPr>
        <w:ind w:left="5760" w:hanging="360"/>
      </w:pPr>
      <w:rPr>
        <w:rFonts w:ascii="Courier New" w:hAnsi="Courier New" w:cs="Courier New" w:hint="default"/>
      </w:rPr>
    </w:lvl>
    <w:lvl w:ilvl="8" w:tplc="B192AE20"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9F6A742">
      <w:start w:val="1"/>
      <w:numFmt w:val="lowerRoman"/>
      <w:lvlText w:val="%1."/>
      <w:lvlJc w:val="left"/>
      <w:pPr>
        <w:ind w:left="1080" w:hanging="720"/>
      </w:pPr>
      <w:rPr>
        <w:rFonts w:hint="default"/>
      </w:rPr>
    </w:lvl>
    <w:lvl w:ilvl="1" w:tplc="127A2BBE">
      <w:start w:val="1"/>
      <w:numFmt w:val="lowerLetter"/>
      <w:lvlText w:val="%2."/>
      <w:lvlJc w:val="left"/>
      <w:pPr>
        <w:ind w:left="1440" w:hanging="360"/>
      </w:pPr>
      <w:rPr>
        <w:rFonts w:hint="default"/>
      </w:rPr>
    </w:lvl>
    <w:lvl w:ilvl="2" w:tplc="7EA882FC" w:tentative="1">
      <w:start w:val="1"/>
      <w:numFmt w:val="lowerRoman"/>
      <w:lvlText w:val="%3."/>
      <w:lvlJc w:val="right"/>
      <w:pPr>
        <w:ind w:left="2160" w:hanging="180"/>
      </w:pPr>
    </w:lvl>
    <w:lvl w:ilvl="3" w:tplc="6A026BD8" w:tentative="1">
      <w:start w:val="1"/>
      <w:numFmt w:val="decimal"/>
      <w:lvlText w:val="%4."/>
      <w:lvlJc w:val="left"/>
      <w:pPr>
        <w:ind w:left="2880" w:hanging="360"/>
      </w:pPr>
    </w:lvl>
    <w:lvl w:ilvl="4" w:tplc="9F4CABB8" w:tentative="1">
      <w:start w:val="1"/>
      <w:numFmt w:val="lowerLetter"/>
      <w:lvlText w:val="%5."/>
      <w:lvlJc w:val="left"/>
      <w:pPr>
        <w:ind w:left="3600" w:hanging="360"/>
      </w:pPr>
    </w:lvl>
    <w:lvl w:ilvl="5" w:tplc="30082F5A" w:tentative="1">
      <w:start w:val="1"/>
      <w:numFmt w:val="lowerRoman"/>
      <w:lvlText w:val="%6."/>
      <w:lvlJc w:val="right"/>
      <w:pPr>
        <w:ind w:left="4320" w:hanging="180"/>
      </w:pPr>
    </w:lvl>
    <w:lvl w:ilvl="6" w:tplc="1EEA692A" w:tentative="1">
      <w:start w:val="1"/>
      <w:numFmt w:val="decimal"/>
      <w:lvlText w:val="%7."/>
      <w:lvlJc w:val="left"/>
      <w:pPr>
        <w:ind w:left="5040" w:hanging="360"/>
      </w:pPr>
    </w:lvl>
    <w:lvl w:ilvl="7" w:tplc="E648E0A2" w:tentative="1">
      <w:start w:val="1"/>
      <w:numFmt w:val="lowerLetter"/>
      <w:lvlText w:val="%8."/>
      <w:lvlJc w:val="left"/>
      <w:pPr>
        <w:ind w:left="5760" w:hanging="360"/>
      </w:pPr>
    </w:lvl>
    <w:lvl w:ilvl="8" w:tplc="4996676A"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904AD23C">
      <w:start w:val="1"/>
      <w:numFmt w:val="bullet"/>
      <w:lvlText w:val=""/>
      <w:lvlJc w:val="left"/>
      <w:pPr>
        <w:ind w:left="1080" w:hanging="360"/>
      </w:pPr>
      <w:rPr>
        <w:rFonts w:ascii="Symbol" w:hAnsi="Symbol" w:hint="default"/>
      </w:rPr>
    </w:lvl>
    <w:lvl w:ilvl="1" w:tplc="DA1C1930">
      <w:start w:val="1"/>
      <w:numFmt w:val="lowerLetter"/>
      <w:lvlText w:val="%2."/>
      <w:lvlJc w:val="left"/>
      <w:pPr>
        <w:ind w:left="1800" w:hanging="360"/>
      </w:pPr>
    </w:lvl>
    <w:lvl w:ilvl="2" w:tplc="C630C1E4">
      <w:start w:val="1"/>
      <w:numFmt w:val="lowerRoman"/>
      <w:lvlText w:val="%3."/>
      <w:lvlJc w:val="right"/>
      <w:pPr>
        <w:ind w:left="2520" w:hanging="180"/>
      </w:pPr>
    </w:lvl>
    <w:lvl w:ilvl="3" w:tplc="C8260226">
      <w:start w:val="1"/>
      <w:numFmt w:val="decimal"/>
      <w:lvlText w:val="%4."/>
      <w:lvlJc w:val="left"/>
      <w:pPr>
        <w:ind w:left="3240" w:hanging="360"/>
      </w:pPr>
    </w:lvl>
    <w:lvl w:ilvl="4" w:tplc="CEF65C24">
      <w:start w:val="1"/>
      <w:numFmt w:val="lowerLetter"/>
      <w:lvlText w:val="%5."/>
      <w:lvlJc w:val="left"/>
      <w:pPr>
        <w:ind w:left="3960" w:hanging="360"/>
      </w:pPr>
    </w:lvl>
    <w:lvl w:ilvl="5" w:tplc="2B1AE5E8">
      <w:start w:val="1"/>
      <w:numFmt w:val="lowerRoman"/>
      <w:lvlText w:val="%6."/>
      <w:lvlJc w:val="right"/>
      <w:pPr>
        <w:ind w:left="4680" w:hanging="180"/>
      </w:pPr>
    </w:lvl>
    <w:lvl w:ilvl="6" w:tplc="95B49924">
      <w:start w:val="1"/>
      <w:numFmt w:val="decimal"/>
      <w:lvlText w:val="%7."/>
      <w:lvlJc w:val="left"/>
      <w:pPr>
        <w:ind w:left="5400" w:hanging="360"/>
      </w:pPr>
    </w:lvl>
    <w:lvl w:ilvl="7" w:tplc="A5D8F3B0">
      <w:start w:val="1"/>
      <w:numFmt w:val="lowerLetter"/>
      <w:lvlText w:val="%8."/>
      <w:lvlJc w:val="left"/>
      <w:pPr>
        <w:ind w:left="6120" w:hanging="360"/>
      </w:pPr>
    </w:lvl>
    <w:lvl w:ilvl="8" w:tplc="2D384C10">
      <w:start w:val="1"/>
      <w:numFmt w:val="lowerRoman"/>
      <w:lvlText w:val="%9."/>
      <w:lvlJc w:val="right"/>
      <w:pPr>
        <w:ind w:left="6840" w:hanging="180"/>
      </w:pPr>
    </w:lvl>
  </w:abstractNum>
  <w:abstractNum w:abstractNumId="14" w15:restartNumberingAfterBreak="0">
    <w:nsid w:val="3BDB7294"/>
    <w:multiLevelType w:val="hybridMultilevel"/>
    <w:tmpl w:val="4FDC3486"/>
    <w:lvl w:ilvl="0" w:tplc="9B70ACEE">
      <w:start w:val="1"/>
      <w:numFmt w:val="decimal"/>
      <w:lvlText w:val="%1."/>
      <w:lvlJc w:val="left"/>
      <w:pPr>
        <w:ind w:left="720" w:hanging="360"/>
      </w:pPr>
    </w:lvl>
    <w:lvl w:ilvl="1" w:tplc="C6009C8A">
      <w:start w:val="1"/>
      <w:numFmt w:val="lowerLetter"/>
      <w:lvlText w:val="%2)"/>
      <w:lvlJc w:val="left"/>
      <w:pPr>
        <w:ind w:left="1800" w:hanging="720"/>
      </w:pPr>
      <w:rPr>
        <w:rFonts w:hint="default"/>
        <w:b w:val="0"/>
      </w:rPr>
    </w:lvl>
    <w:lvl w:ilvl="2" w:tplc="DC9E2B9E" w:tentative="1">
      <w:start w:val="1"/>
      <w:numFmt w:val="lowerRoman"/>
      <w:lvlText w:val="%3."/>
      <w:lvlJc w:val="right"/>
      <w:pPr>
        <w:ind w:left="2160" w:hanging="180"/>
      </w:pPr>
    </w:lvl>
    <w:lvl w:ilvl="3" w:tplc="9E128AA4">
      <w:start w:val="1"/>
      <w:numFmt w:val="decimal"/>
      <w:lvlText w:val="%4."/>
      <w:lvlJc w:val="left"/>
      <w:pPr>
        <w:ind w:left="2880" w:hanging="360"/>
      </w:pPr>
    </w:lvl>
    <w:lvl w:ilvl="4" w:tplc="23585DA2" w:tentative="1">
      <w:start w:val="1"/>
      <w:numFmt w:val="lowerLetter"/>
      <w:lvlText w:val="%5."/>
      <w:lvlJc w:val="left"/>
      <w:pPr>
        <w:ind w:left="3600" w:hanging="360"/>
      </w:pPr>
    </w:lvl>
    <w:lvl w:ilvl="5" w:tplc="7B2EFCD6">
      <w:start w:val="1"/>
      <w:numFmt w:val="lowerRoman"/>
      <w:lvlText w:val="%6."/>
      <w:lvlJc w:val="right"/>
      <w:pPr>
        <w:ind w:left="4320" w:hanging="180"/>
      </w:pPr>
    </w:lvl>
    <w:lvl w:ilvl="6" w:tplc="346C7696" w:tentative="1">
      <w:start w:val="1"/>
      <w:numFmt w:val="decimal"/>
      <w:lvlText w:val="%7."/>
      <w:lvlJc w:val="left"/>
      <w:pPr>
        <w:ind w:left="5040" w:hanging="360"/>
      </w:pPr>
    </w:lvl>
    <w:lvl w:ilvl="7" w:tplc="BBF05FA2" w:tentative="1">
      <w:start w:val="1"/>
      <w:numFmt w:val="lowerLetter"/>
      <w:lvlText w:val="%8."/>
      <w:lvlJc w:val="left"/>
      <w:pPr>
        <w:ind w:left="5760" w:hanging="360"/>
      </w:pPr>
    </w:lvl>
    <w:lvl w:ilvl="8" w:tplc="6360F372"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D0A6040A">
      <w:start w:val="1"/>
      <w:numFmt w:val="decimal"/>
      <w:lvlText w:val="%1."/>
      <w:lvlJc w:val="left"/>
      <w:pPr>
        <w:ind w:left="720" w:hanging="360"/>
      </w:pPr>
      <w:rPr>
        <w:rFonts w:eastAsia="Calibri" w:hint="default"/>
      </w:rPr>
    </w:lvl>
    <w:lvl w:ilvl="1" w:tplc="31DE948A">
      <w:start w:val="1"/>
      <w:numFmt w:val="lowerLetter"/>
      <w:lvlText w:val="%2."/>
      <w:lvlJc w:val="left"/>
      <w:pPr>
        <w:ind w:left="1440" w:hanging="360"/>
      </w:pPr>
      <w:rPr>
        <w:rFonts w:hint="default"/>
        <w:b/>
        <w:color w:val="auto"/>
      </w:rPr>
    </w:lvl>
    <w:lvl w:ilvl="2" w:tplc="EB4C7FD0">
      <w:start w:val="1"/>
      <w:numFmt w:val="lowerRoman"/>
      <w:lvlText w:val="(%3)"/>
      <w:lvlJc w:val="left"/>
      <w:pPr>
        <w:ind w:left="2160" w:hanging="180"/>
      </w:pPr>
      <w:rPr>
        <w:rFonts w:hint="default"/>
        <w:b/>
        <w:bCs/>
      </w:rPr>
    </w:lvl>
    <w:lvl w:ilvl="3" w:tplc="BE9263FC">
      <w:start w:val="1"/>
      <w:numFmt w:val="decimal"/>
      <w:lvlText w:val="%4."/>
      <w:lvlJc w:val="left"/>
      <w:pPr>
        <w:ind w:left="2880" w:hanging="360"/>
      </w:pPr>
      <w:rPr>
        <w:b/>
      </w:rPr>
    </w:lvl>
    <w:lvl w:ilvl="4" w:tplc="25BAAA98">
      <w:start w:val="1"/>
      <w:numFmt w:val="lowerLetter"/>
      <w:lvlText w:val="%5."/>
      <w:lvlJc w:val="left"/>
      <w:pPr>
        <w:ind w:left="3600" w:hanging="360"/>
      </w:pPr>
      <w:rPr>
        <w:b/>
      </w:rPr>
    </w:lvl>
    <w:lvl w:ilvl="5" w:tplc="03CCE4A6">
      <w:start w:val="1"/>
      <w:numFmt w:val="lowerRoman"/>
      <w:lvlText w:val="(%6)"/>
      <w:lvlJc w:val="left"/>
      <w:pPr>
        <w:ind w:left="4860" w:hanging="720"/>
      </w:pPr>
      <w:rPr>
        <w:rFonts w:hint="default"/>
        <w:b/>
        <w:bCs/>
      </w:rPr>
    </w:lvl>
    <w:lvl w:ilvl="6" w:tplc="55285286">
      <w:start w:val="1"/>
      <w:numFmt w:val="upperRoman"/>
      <w:lvlText w:val="%7."/>
      <w:lvlJc w:val="left"/>
      <w:pPr>
        <w:ind w:left="5400" w:hanging="720"/>
      </w:pPr>
      <w:rPr>
        <w:rFonts w:hint="default"/>
        <w:b/>
        <w:bCs w:val="0"/>
      </w:rPr>
    </w:lvl>
    <w:lvl w:ilvl="7" w:tplc="2E527976" w:tentative="1">
      <w:start w:val="1"/>
      <w:numFmt w:val="lowerLetter"/>
      <w:lvlText w:val="%8."/>
      <w:lvlJc w:val="left"/>
      <w:pPr>
        <w:ind w:left="5760" w:hanging="360"/>
      </w:pPr>
    </w:lvl>
    <w:lvl w:ilvl="8" w:tplc="0ED67418"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598CB26A">
      <w:start w:val="1"/>
      <w:numFmt w:val="upperLetter"/>
      <w:lvlText w:val="%1."/>
      <w:lvlJc w:val="left"/>
      <w:pPr>
        <w:ind w:left="360" w:hanging="360"/>
      </w:pPr>
      <w:rPr>
        <w:rFonts w:hint="default"/>
      </w:rPr>
    </w:lvl>
    <w:lvl w:ilvl="1" w:tplc="FD0C55B4" w:tentative="1">
      <w:start w:val="1"/>
      <w:numFmt w:val="lowerLetter"/>
      <w:lvlText w:val="%2."/>
      <w:lvlJc w:val="left"/>
      <w:pPr>
        <w:ind w:left="1080" w:hanging="360"/>
      </w:pPr>
    </w:lvl>
    <w:lvl w:ilvl="2" w:tplc="2F66D3F0" w:tentative="1">
      <w:start w:val="1"/>
      <w:numFmt w:val="lowerRoman"/>
      <w:lvlText w:val="%3."/>
      <w:lvlJc w:val="right"/>
      <w:pPr>
        <w:ind w:left="1800" w:hanging="180"/>
      </w:pPr>
    </w:lvl>
    <w:lvl w:ilvl="3" w:tplc="3B8482EE" w:tentative="1">
      <w:start w:val="1"/>
      <w:numFmt w:val="decimal"/>
      <w:lvlText w:val="%4."/>
      <w:lvlJc w:val="left"/>
      <w:pPr>
        <w:ind w:left="2520" w:hanging="360"/>
      </w:pPr>
    </w:lvl>
    <w:lvl w:ilvl="4" w:tplc="44584146" w:tentative="1">
      <w:start w:val="1"/>
      <w:numFmt w:val="lowerLetter"/>
      <w:lvlText w:val="%5."/>
      <w:lvlJc w:val="left"/>
      <w:pPr>
        <w:ind w:left="3240" w:hanging="360"/>
      </w:pPr>
    </w:lvl>
    <w:lvl w:ilvl="5" w:tplc="9258E048" w:tentative="1">
      <w:start w:val="1"/>
      <w:numFmt w:val="lowerRoman"/>
      <w:lvlText w:val="%6."/>
      <w:lvlJc w:val="right"/>
      <w:pPr>
        <w:ind w:left="3960" w:hanging="180"/>
      </w:pPr>
    </w:lvl>
    <w:lvl w:ilvl="6" w:tplc="EAA670EE" w:tentative="1">
      <w:start w:val="1"/>
      <w:numFmt w:val="decimal"/>
      <w:lvlText w:val="%7."/>
      <w:lvlJc w:val="left"/>
      <w:pPr>
        <w:ind w:left="4680" w:hanging="360"/>
      </w:pPr>
    </w:lvl>
    <w:lvl w:ilvl="7" w:tplc="BDE0C428" w:tentative="1">
      <w:start w:val="1"/>
      <w:numFmt w:val="lowerLetter"/>
      <w:lvlText w:val="%8."/>
      <w:lvlJc w:val="left"/>
      <w:pPr>
        <w:ind w:left="5400" w:hanging="360"/>
      </w:pPr>
    </w:lvl>
    <w:lvl w:ilvl="8" w:tplc="C5445916"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BE4612CA">
      <w:start w:val="1"/>
      <w:numFmt w:val="bullet"/>
      <w:lvlText w:val=""/>
      <w:lvlJc w:val="left"/>
      <w:pPr>
        <w:ind w:left="720" w:hanging="360"/>
      </w:pPr>
      <w:rPr>
        <w:rFonts w:ascii="Symbol" w:hAnsi="Symbol" w:hint="default"/>
      </w:rPr>
    </w:lvl>
    <w:lvl w:ilvl="1" w:tplc="13A4F778" w:tentative="1">
      <w:start w:val="1"/>
      <w:numFmt w:val="bullet"/>
      <w:lvlText w:val="o"/>
      <w:lvlJc w:val="left"/>
      <w:pPr>
        <w:ind w:left="1440" w:hanging="360"/>
      </w:pPr>
      <w:rPr>
        <w:rFonts w:ascii="Courier New" w:hAnsi="Courier New" w:cs="Courier New" w:hint="default"/>
      </w:rPr>
    </w:lvl>
    <w:lvl w:ilvl="2" w:tplc="743CB396" w:tentative="1">
      <w:start w:val="1"/>
      <w:numFmt w:val="bullet"/>
      <w:lvlText w:val=""/>
      <w:lvlJc w:val="left"/>
      <w:pPr>
        <w:ind w:left="2160" w:hanging="360"/>
      </w:pPr>
      <w:rPr>
        <w:rFonts w:ascii="Wingdings" w:hAnsi="Wingdings" w:hint="default"/>
      </w:rPr>
    </w:lvl>
    <w:lvl w:ilvl="3" w:tplc="18166CD0" w:tentative="1">
      <w:start w:val="1"/>
      <w:numFmt w:val="bullet"/>
      <w:lvlText w:val=""/>
      <w:lvlJc w:val="left"/>
      <w:pPr>
        <w:ind w:left="2880" w:hanging="360"/>
      </w:pPr>
      <w:rPr>
        <w:rFonts w:ascii="Symbol" w:hAnsi="Symbol" w:hint="default"/>
      </w:rPr>
    </w:lvl>
    <w:lvl w:ilvl="4" w:tplc="DD3CDE6A" w:tentative="1">
      <w:start w:val="1"/>
      <w:numFmt w:val="bullet"/>
      <w:lvlText w:val="o"/>
      <w:lvlJc w:val="left"/>
      <w:pPr>
        <w:ind w:left="3600" w:hanging="360"/>
      </w:pPr>
      <w:rPr>
        <w:rFonts w:ascii="Courier New" w:hAnsi="Courier New" w:cs="Courier New" w:hint="default"/>
      </w:rPr>
    </w:lvl>
    <w:lvl w:ilvl="5" w:tplc="01600836" w:tentative="1">
      <w:start w:val="1"/>
      <w:numFmt w:val="bullet"/>
      <w:lvlText w:val=""/>
      <w:lvlJc w:val="left"/>
      <w:pPr>
        <w:ind w:left="4320" w:hanging="360"/>
      </w:pPr>
      <w:rPr>
        <w:rFonts w:ascii="Wingdings" w:hAnsi="Wingdings" w:hint="default"/>
      </w:rPr>
    </w:lvl>
    <w:lvl w:ilvl="6" w:tplc="505652D8" w:tentative="1">
      <w:start w:val="1"/>
      <w:numFmt w:val="bullet"/>
      <w:lvlText w:val=""/>
      <w:lvlJc w:val="left"/>
      <w:pPr>
        <w:ind w:left="5040" w:hanging="360"/>
      </w:pPr>
      <w:rPr>
        <w:rFonts w:ascii="Symbol" w:hAnsi="Symbol" w:hint="default"/>
      </w:rPr>
    </w:lvl>
    <w:lvl w:ilvl="7" w:tplc="A2507F0C" w:tentative="1">
      <w:start w:val="1"/>
      <w:numFmt w:val="bullet"/>
      <w:lvlText w:val="o"/>
      <w:lvlJc w:val="left"/>
      <w:pPr>
        <w:ind w:left="5760" w:hanging="360"/>
      </w:pPr>
      <w:rPr>
        <w:rFonts w:ascii="Courier New" w:hAnsi="Courier New" w:cs="Courier New" w:hint="default"/>
      </w:rPr>
    </w:lvl>
    <w:lvl w:ilvl="8" w:tplc="7C6235B4"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9AE2568A">
      <w:start w:val="1"/>
      <w:numFmt w:val="bullet"/>
      <w:lvlText w:val=""/>
      <w:lvlJc w:val="left"/>
      <w:pPr>
        <w:ind w:left="720" w:hanging="360"/>
      </w:pPr>
      <w:rPr>
        <w:rFonts w:ascii="Symbol" w:hAnsi="Symbol" w:hint="default"/>
      </w:rPr>
    </w:lvl>
    <w:lvl w:ilvl="1" w:tplc="41560350" w:tentative="1">
      <w:start w:val="1"/>
      <w:numFmt w:val="bullet"/>
      <w:lvlText w:val="o"/>
      <w:lvlJc w:val="left"/>
      <w:pPr>
        <w:ind w:left="1440" w:hanging="360"/>
      </w:pPr>
      <w:rPr>
        <w:rFonts w:ascii="Courier New" w:hAnsi="Courier New" w:cs="Courier New" w:hint="default"/>
      </w:rPr>
    </w:lvl>
    <w:lvl w:ilvl="2" w:tplc="88FEF6C2" w:tentative="1">
      <w:start w:val="1"/>
      <w:numFmt w:val="bullet"/>
      <w:lvlText w:val=""/>
      <w:lvlJc w:val="left"/>
      <w:pPr>
        <w:ind w:left="2160" w:hanging="360"/>
      </w:pPr>
      <w:rPr>
        <w:rFonts w:ascii="Wingdings" w:hAnsi="Wingdings" w:hint="default"/>
      </w:rPr>
    </w:lvl>
    <w:lvl w:ilvl="3" w:tplc="126066F2" w:tentative="1">
      <w:start w:val="1"/>
      <w:numFmt w:val="bullet"/>
      <w:lvlText w:val=""/>
      <w:lvlJc w:val="left"/>
      <w:pPr>
        <w:ind w:left="2880" w:hanging="360"/>
      </w:pPr>
      <w:rPr>
        <w:rFonts w:ascii="Symbol" w:hAnsi="Symbol" w:hint="default"/>
      </w:rPr>
    </w:lvl>
    <w:lvl w:ilvl="4" w:tplc="EBCC83F4" w:tentative="1">
      <w:start w:val="1"/>
      <w:numFmt w:val="bullet"/>
      <w:lvlText w:val="o"/>
      <w:lvlJc w:val="left"/>
      <w:pPr>
        <w:ind w:left="3600" w:hanging="360"/>
      </w:pPr>
      <w:rPr>
        <w:rFonts w:ascii="Courier New" w:hAnsi="Courier New" w:cs="Courier New" w:hint="default"/>
      </w:rPr>
    </w:lvl>
    <w:lvl w:ilvl="5" w:tplc="9676A018" w:tentative="1">
      <w:start w:val="1"/>
      <w:numFmt w:val="bullet"/>
      <w:lvlText w:val=""/>
      <w:lvlJc w:val="left"/>
      <w:pPr>
        <w:ind w:left="4320" w:hanging="360"/>
      </w:pPr>
      <w:rPr>
        <w:rFonts w:ascii="Wingdings" w:hAnsi="Wingdings" w:hint="default"/>
      </w:rPr>
    </w:lvl>
    <w:lvl w:ilvl="6" w:tplc="29424AB6" w:tentative="1">
      <w:start w:val="1"/>
      <w:numFmt w:val="bullet"/>
      <w:lvlText w:val=""/>
      <w:lvlJc w:val="left"/>
      <w:pPr>
        <w:ind w:left="5040" w:hanging="360"/>
      </w:pPr>
      <w:rPr>
        <w:rFonts w:ascii="Symbol" w:hAnsi="Symbol" w:hint="default"/>
      </w:rPr>
    </w:lvl>
    <w:lvl w:ilvl="7" w:tplc="8200C25A" w:tentative="1">
      <w:start w:val="1"/>
      <w:numFmt w:val="bullet"/>
      <w:lvlText w:val="o"/>
      <w:lvlJc w:val="left"/>
      <w:pPr>
        <w:ind w:left="5760" w:hanging="360"/>
      </w:pPr>
      <w:rPr>
        <w:rFonts w:ascii="Courier New" w:hAnsi="Courier New" w:cs="Courier New" w:hint="default"/>
      </w:rPr>
    </w:lvl>
    <w:lvl w:ilvl="8" w:tplc="9C562166"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8CEE1A06">
      <w:start w:val="1"/>
      <w:numFmt w:val="bullet"/>
      <w:lvlText w:val=""/>
      <w:lvlJc w:val="left"/>
      <w:pPr>
        <w:ind w:left="720" w:hanging="360"/>
      </w:pPr>
      <w:rPr>
        <w:rFonts w:ascii="Symbol" w:hAnsi="Symbol" w:hint="default"/>
      </w:rPr>
    </w:lvl>
    <w:lvl w:ilvl="1" w:tplc="B14C4FAA" w:tentative="1">
      <w:start w:val="1"/>
      <w:numFmt w:val="bullet"/>
      <w:lvlText w:val="o"/>
      <w:lvlJc w:val="left"/>
      <w:pPr>
        <w:ind w:left="1440" w:hanging="360"/>
      </w:pPr>
      <w:rPr>
        <w:rFonts w:ascii="Courier New" w:hAnsi="Courier New" w:cs="Courier New" w:hint="default"/>
      </w:rPr>
    </w:lvl>
    <w:lvl w:ilvl="2" w:tplc="B68A556A" w:tentative="1">
      <w:start w:val="1"/>
      <w:numFmt w:val="bullet"/>
      <w:lvlText w:val=""/>
      <w:lvlJc w:val="left"/>
      <w:pPr>
        <w:ind w:left="2160" w:hanging="360"/>
      </w:pPr>
      <w:rPr>
        <w:rFonts w:ascii="Wingdings" w:hAnsi="Wingdings" w:hint="default"/>
      </w:rPr>
    </w:lvl>
    <w:lvl w:ilvl="3" w:tplc="4E70AD94" w:tentative="1">
      <w:start w:val="1"/>
      <w:numFmt w:val="bullet"/>
      <w:lvlText w:val=""/>
      <w:lvlJc w:val="left"/>
      <w:pPr>
        <w:ind w:left="2880" w:hanging="360"/>
      </w:pPr>
      <w:rPr>
        <w:rFonts w:ascii="Symbol" w:hAnsi="Symbol" w:hint="default"/>
      </w:rPr>
    </w:lvl>
    <w:lvl w:ilvl="4" w:tplc="8A38FAA8" w:tentative="1">
      <w:start w:val="1"/>
      <w:numFmt w:val="bullet"/>
      <w:lvlText w:val="o"/>
      <w:lvlJc w:val="left"/>
      <w:pPr>
        <w:ind w:left="3600" w:hanging="360"/>
      </w:pPr>
      <w:rPr>
        <w:rFonts w:ascii="Courier New" w:hAnsi="Courier New" w:cs="Courier New" w:hint="default"/>
      </w:rPr>
    </w:lvl>
    <w:lvl w:ilvl="5" w:tplc="8C1A5220" w:tentative="1">
      <w:start w:val="1"/>
      <w:numFmt w:val="bullet"/>
      <w:lvlText w:val=""/>
      <w:lvlJc w:val="left"/>
      <w:pPr>
        <w:ind w:left="4320" w:hanging="360"/>
      </w:pPr>
      <w:rPr>
        <w:rFonts w:ascii="Wingdings" w:hAnsi="Wingdings" w:hint="default"/>
      </w:rPr>
    </w:lvl>
    <w:lvl w:ilvl="6" w:tplc="F594E9B4" w:tentative="1">
      <w:start w:val="1"/>
      <w:numFmt w:val="bullet"/>
      <w:lvlText w:val=""/>
      <w:lvlJc w:val="left"/>
      <w:pPr>
        <w:ind w:left="5040" w:hanging="360"/>
      </w:pPr>
      <w:rPr>
        <w:rFonts w:ascii="Symbol" w:hAnsi="Symbol" w:hint="default"/>
      </w:rPr>
    </w:lvl>
    <w:lvl w:ilvl="7" w:tplc="3B7EE2C0" w:tentative="1">
      <w:start w:val="1"/>
      <w:numFmt w:val="bullet"/>
      <w:lvlText w:val="o"/>
      <w:lvlJc w:val="left"/>
      <w:pPr>
        <w:ind w:left="5760" w:hanging="360"/>
      </w:pPr>
      <w:rPr>
        <w:rFonts w:ascii="Courier New" w:hAnsi="Courier New" w:cs="Courier New" w:hint="default"/>
      </w:rPr>
    </w:lvl>
    <w:lvl w:ilvl="8" w:tplc="8AC41956"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A09AC1AA">
      <w:start w:val="2"/>
      <w:numFmt w:val="lowerLetter"/>
      <w:lvlText w:val="%1."/>
      <w:lvlJc w:val="left"/>
      <w:pPr>
        <w:ind w:left="1440" w:hanging="360"/>
      </w:pPr>
      <w:rPr>
        <w:rFonts w:hint="default"/>
        <w:b/>
      </w:rPr>
    </w:lvl>
    <w:lvl w:ilvl="1" w:tplc="272C22CC" w:tentative="1">
      <w:start w:val="1"/>
      <w:numFmt w:val="lowerLetter"/>
      <w:lvlText w:val="%2."/>
      <w:lvlJc w:val="left"/>
      <w:pPr>
        <w:ind w:left="1440" w:hanging="360"/>
      </w:pPr>
    </w:lvl>
    <w:lvl w:ilvl="2" w:tplc="5F189730" w:tentative="1">
      <w:start w:val="1"/>
      <w:numFmt w:val="lowerRoman"/>
      <w:lvlText w:val="%3."/>
      <w:lvlJc w:val="right"/>
      <w:pPr>
        <w:ind w:left="2160" w:hanging="180"/>
      </w:pPr>
    </w:lvl>
    <w:lvl w:ilvl="3" w:tplc="7BC22E4C" w:tentative="1">
      <w:start w:val="1"/>
      <w:numFmt w:val="decimal"/>
      <w:lvlText w:val="%4."/>
      <w:lvlJc w:val="left"/>
      <w:pPr>
        <w:ind w:left="2880" w:hanging="360"/>
      </w:pPr>
    </w:lvl>
    <w:lvl w:ilvl="4" w:tplc="680CEC88" w:tentative="1">
      <w:start w:val="1"/>
      <w:numFmt w:val="lowerLetter"/>
      <w:lvlText w:val="%5."/>
      <w:lvlJc w:val="left"/>
      <w:pPr>
        <w:ind w:left="3600" w:hanging="360"/>
      </w:pPr>
    </w:lvl>
    <w:lvl w:ilvl="5" w:tplc="B316F446" w:tentative="1">
      <w:start w:val="1"/>
      <w:numFmt w:val="lowerRoman"/>
      <w:lvlText w:val="%6."/>
      <w:lvlJc w:val="right"/>
      <w:pPr>
        <w:ind w:left="4320" w:hanging="180"/>
      </w:pPr>
    </w:lvl>
    <w:lvl w:ilvl="6" w:tplc="A44A50B6" w:tentative="1">
      <w:start w:val="1"/>
      <w:numFmt w:val="decimal"/>
      <w:lvlText w:val="%7."/>
      <w:lvlJc w:val="left"/>
      <w:pPr>
        <w:ind w:left="5040" w:hanging="360"/>
      </w:pPr>
    </w:lvl>
    <w:lvl w:ilvl="7" w:tplc="A4D8A34C" w:tentative="1">
      <w:start w:val="1"/>
      <w:numFmt w:val="lowerLetter"/>
      <w:lvlText w:val="%8."/>
      <w:lvlJc w:val="left"/>
      <w:pPr>
        <w:ind w:left="5760" w:hanging="360"/>
      </w:pPr>
    </w:lvl>
    <w:lvl w:ilvl="8" w:tplc="2826A852"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69D23D1E">
      <w:start w:val="1"/>
      <w:numFmt w:val="bullet"/>
      <w:lvlText w:val=""/>
      <w:lvlJc w:val="left"/>
      <w:pPr>
        <w:ind w:left="734" w:hanging="360"/>
      </w:pPr>
      <w:rPr>
        <w:rFonts w:ascii="Symbol" w:hAnsi="Symbol" w:hint="default"/>
        <w:sz w:val="18"/>
      </w:rPr>
    </w:lvl>
    <w:lvl w:ilvl="1" w:tplc="0792AE44">
      <w:start w:val="1"/>
      <w:numFmt w:val="bullet"/>
      <w:lvlText w:val="o"/>
      <w:lvlJc w:val="left"/>
      <w:pPr>
        <w:ind w:left="1454" w:hanging="360"/>
      </w:pPr>
      <w:rPr>
        <w:rFonts w:ascii="Courier New" w:hAnsi="Courier New" w:cs="Courier New" w:hint="default"/>
      </w:rPr>
    </w:lvl>
    <w:lvl w:ilvl="2" w:tplc="DBA0386E" w:tentative="1">
      <w:start w:val="1"/>
      <w:numFmt w:val="bullet"/>
      <w:lvlText w:val=""/>
      <w:lvlJc w:val="left"/>
      <w:pPr>
        <w:ind w:left="2174" w:hanging="360"/>
      </w:pPr>
      <w:rPr>
        <w:rFonts w:ascii="Wingdings" w:hAnsi="Wingdings" w:hint="default"/>
      </w:rPr>
    </w:lvl>
    <w:lvl w:ilvl="3" w:tplc="295C19A4" w:tentative="1">
      <w:start w:val="1"/>
      <w:numFmt w:val="bullet"/>
      <w:lvlText w:val=""/>
      <w:lvlJc w:val="left"/>
      <w:pPr>
        <w:ind w:left="2894" w:hanging="360"/>
      </w:pPr>
      <w:rPr>
        <w:rFonts w:ascii="Symbol" w:hAnsi="Symbol" w:hint="default"/>
      </w:rPr>
    </w:lvl>
    <w:lvl w:ilvl="4" w:tplc="319696F4" w:tentative="1">
      <w:start w:val="1"/>
      <w:numFmt w:val="bullet"/>
      <w:lvlText w:val="o"/>
      <w:lvlJc w:val="left"/>
      <w:pPr>
        <w:ind w:left="3614" w:hanging="360"/>
      </w:pPr>
      <w:rPr>
        <w:rFonts w:ascii="Courier New" w:hAnsi="Courier New" w:cs="Courier New" w:hint="default"/>
      </w:rPr>
    </w:lvl>
    <w:lvl w:ilvl="5" w:tplc="BA1E81CE" w:tentative="1">
      <w:start w:val="1"/>
      <w:numFmt w:val="bullet"/>
      <w:lvlText w:val=""/>
      <w:lvlJc w:val="left"/>
      <w:pPr>
        <w:ind w:left="4334" w:hanging="360"/>
      </w:pPr>
      <w:rPr>
        <w:rFonts w:ascii="Wingdings" w:hAnsi="Wingdings" w:hint="default"/>
      </w:rPr>
    </w:lvl>
    <w:lvl w:ilvl="6" w:tplc="602016D8" w:tentative="1">
      <w:start w:val="1"/>
      <w:numFmt w:val="bullet"/>
      <w:lvlText w:val=""/>
      <w:lvlJc w:val="left"/>
      <w:pPr>
        <w:ind w:left="5054" w:hanging="360"/>
      </w:pPr>
      <w:rPr>
        <w:rFonts w:ascii="Symbol" w:hAnsi="Symbol" w:hint="default"/>
      </w:rPr>
    </w:lvl>
    <w:lvl w:ilvl="7" w:tplc="A436322E" w:tentative="1">
      <w:start w:val="1"/>
      <w:numFmt w:val="bullet"/>
      <w:lvlText w:val="o"/>
      <w:lvlJc w:val="left"/>
      <w:pPr>
        <w:ind w:left="5774" w:hanging="360"/>
      </w:pPr>
      <w:rPr>
        <w:rFonts w:ascii="Courier New" w:hAnsi="Courier New" w:cs="Courier New" w:hint="default"/>
      </w:rPr>
    </w:lvl>
    <w:lvl w:ilvl="8" w:tplc="6B94A9A8"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559832D0">
      <w:start w:val="1"/>
      <w:numFmt w:val="bullet"/>
      <w:lvlText w:val=""/>
      <w:lvlJc w:val="left"/>
      <w:pPr>
        <w:ind w:left="720" w:hanging="360"/>
      </w:pPr>
      <w:rPr>
        <w:rFonts w:ascii="Symbol" w:hAnsi="Symbol" w:hint="default"/>
      </w:rPr>
    </w:lvl>
    <w:lvl w:ilvl="1" w:tplc="D3DAE63C">
      <w:start w:val="1"/>
      <w:numFmt w:val="bullet"/>
      <w:lvlText w:val="o"/>
      <w:lvlJc w:val="left"/>
      <w:pPr>
        <w:ind w:left="1440" w:hanging="360"/>
      </w:pPr>
      <w:rPr>
        <w:rFonts w:ascii="Courier New" w:hAnsi="Courier New" w:cs="Courier New" w:hint="default"/>
      </w:rPr>
    </w:lvl>
    <w:lvl w:ilvl="2" w:tplc="25DA81FC" w:tentative="1">
      <w:start w:val="1"/>
      <w:numFmt w:val="bullet"/>
      <w:lvlText w:val=""/>
      <w:lvlJc w:val="left"/>
      <w:pPr>
        <w:ind w:left="2160" w:hanging="360"/>
      </w:pPr>
      <w:rPr>
        <w:rFonts w:ascii="Wingdings" w:hAnsi="Wingdings" w:hint="default"/>
      </w:rPr>
    </w:lvl>
    <w:lvl w:ilvl="3" w:tplc="1C2C3942" w:tentative="1">
      <w:start w:val="1"/>
      <w:numFmt w:val="bullet"/>
      <w:lvlText w:val=""/>
      <w:lvlJc w:val="left"/>
      <w:pPr>
        <w:ind w:left="2880" w:hanging="360"/>
      </w:pPr>
      <w:rPr>
        <w:rFonts w:ascii="Symbol" w:hAnsi="Symbol" w:hint="default"/>
      </w:rPr>
    </w:lvl>
    <w:lvl w:ilvl="4" w:tplc="F0661F8E" w:tentative="1">
      <w:start w:val="1"/>
      <w:numFmt w:val="bullet"/>
      <w:lvlText w:val="o"/>
      <w:lvlJc w:val="left"/>
      <w:pPr>
        <w:ind w:left="3600" w:hanging="360"/>
      </w:pPr>
      <w:rPr>
        <w:rFonts w:ascii="Courier New" w:hAnsi="Courier New" w:cs="Courier New" w:hint="default"/>
      </w:rPr>
    </w:lvl>
    <w:lvl w:ilvl="5" w:tplc="DAB83EAE" w:tentative="1">
      <w:start w:val="1"/>
      <w:numFmt w:val="bullet"/>
      <w:lvlText w:val=""/>
      <w:lvlJc w:val="left"/>
      <w:pPr>
        <w:ind w:left="4320" w:hanging="360"/>
      </w:pPr>
      <w:rPr>
        <w:rFonts w:ascii="Wingdings" w:hAnsi="Wingdings" w:hint="default"/>
      </w:rPr>
    </w:lvl>
    <w:lvl w:ilvl="6" w:tplc="E8105AF2" w:tentative="1">
      <w:start w:val="1"/>
      <w:numFmt w:val="bullet"/>
      <w:lvlText w:val=""/>
      <w:lvlJc w:val="left"/>
      <w:pPr>
        <w:ind w:left="5040" w:hanging="360"/>
      </w:pPr>
      <w:rPr>
        <w:rFonts w:ascii="Symbol" w:hAnsi="Symbol" w:hint="default"/>
      </w:rPr>
    </w:lvl>
    <w:lvl w:ilvl="7" w:tplc="77580334" w:tentative="1">
      <w:start w:val="1"/>
      <w:numFmt w:val="bullet"/>
      <w:lvlText w:val="o"/>
      <w:lvlJc w:val="left"/>
      <w:pPr>
        <w:ind w:left="5760" w:hanging="360"/>
      </w:pPr>
      <w:rPr>
        <w:rFonts w:ascii="Courier New" w:hAnsi="Courier New" w:cs="Courier New" w:hint="default"/>
      </w:rPr>
    </w:lvl>
    <w:lvl w:ilvl="8" w:tplc="59D83888"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3AAE7D0C">
      <w:start w:val="2"/>
      <w:numFmt w:val="bullet"/>
      <w:lvlText w:val="-"/>
      <w:lvlJc w:val="left"/>
      <w:pPr>
        <w:ind w:left="405" w:hanging="360"/>
      </w:pPr>
      <w:rPr>
        <w:rFonts w:ascii="Calibri" w:eastAsiaTheme="minorHAnsi" w:hAnsi="Calibri" w:cstheme="minorBidi" w:hint="default"/>
      </w:rPr>
    </w:lvl>
    <w:lvl w:ilvl="1" w:tplc="9CD88F84" w:tentative="1">
      <w:start w:val="1"/>
      <w:numFmt w:val="bullet"/>
      <w:lvlText w:val="o"/>
      <w:lvlJc w:val="left"/>
      <w:pPr>
        <w:ind w:left="1125" w:hanging="360"/>
      </w:pPr>
      <w:rPr>
        <w:rFonts w:ascii="Courier New" w:hAnsi="Courier New" w:cs="Courier New" w:hint="default"/>
      </w:rPr>
    </w:lvl>
    <w:lvl w:ilvl="2" w:tplc="565A52B8" w:tentative="1">
      <w:start w:val="1"/>
      <w:numFmt w:val="bullet"/>
      <w:lvlText w:val=""/>
      <w:lvlJc w:val="left"/>
      <w:pPr>
        <w:ind w:left="1845" w:hanging="360"/>
      </w:pPr>
      <w:rPr>
        <w:rFonts w:ascii="Wingdings" w:hAnsi="Wingdings" w:hint="default"/>
      </w:rPr>
    </w:lvl>
    <w:lvl w:ilvl="3" w:tplc="B1FEECAC" w:tentative="1">
      <w:start w:val="1"/>
      <w:numFmt w:val="bullet"/>
      <w:lvlText w:val=""/>
      <w:lvlJc w:val="left"/>
      <w:pPr>
        <w:ind w:left="2565" w:hanging="360"/>
      </w:pPr>
      <w:rPr>
        <w:rFonts w:ascii="Symbol" w:hAnsi="Symbol" w:hint="default"/>
      </w:rPr>
    </w:lvl>
    <w:lvl w:ilvl="4" w:tplc="2B8E44F8" w:tentative="1">
      <w:start w:val="1"/>
      <w:numFmt w:val="bullet"/>
      <w:lvlText w:val="o"/>
      <w:lvlJc w:val="left"/>
      <w:pPr>
        <w:ind w:left="3285" w:hanging="360"/>
      </w:pPr>
      <w:rPr>
        <w:rFonts w:ascii="Courier New" w:hAnsi="Courier New" w:cs="Courier New" w:hint="default"/>
      </w:rPr>
    </w:lvl>
    <w:lvl w:ilvl="5" w:tplc="4AA86444" w:tentative="1">
      <w:start w:val="1"/>
      <w:numFmt w:val="bullet"/>
      <w:lvlText w:val=""/>
      <w:lvlJc w:val="left"/>
      <w:pPr>
        <w:ind w:left="4005" w:hanging="360"/>
      </w:pPr>
      <w:rPr>
        <w:rFonts w:ascii="Wingdings" w:hAnsi="Wingdings" w:hint="default"/>
      </w:rPr>
    </w:lvl>
    <w:lvl w:ilvl="6" w:tplc="FDDC64BC" w:tentative="1">
      <w:start w:val="1"/>
      <w:numFmt w:val="bullet"/>
      <w:lvlText w:val=""/>
      <w:lvlJc w:val="left"/>
      <w:pPr>
        <w:ind w:left="4725" w:hanging="360"/>
      </w:pPr>
      <w:rPr>
        <w:rFonts w:ascii="Symbol" w:hAnsi="Symbol" w:hint="default"/>
      </w:rPr>
    </w:lvl>
    <w:lvl w:ilvl="7" w:tplc="17F8F056" w:tentative="1">
      <w:start w:val="1"/>
      <w:numFmt w:val="bullet"/>
      <w:lvlText w:val="o"/>
      <w:lvlJc w:val="left"/>
      <w:pPr>
        <w:ind w:left="5445" w:hanging="360"/>
      </w:pPr>
      <w:rPr>
        <w:rFonts w:ascii="Courier New" w:hAnsi="Courier New" w:cs="Courier New" w:hint="default"/>
      </w:rPr>
    </w:lvl>
    <w:lvl w:ilvl="8" w:tplc="CCAA30A0"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8B501A1A">
      <w:start w:val="1"/>
      <w:numFmt w:val="bullet"/>
      <w:lvlText w:val=""/>
      <w:lvlJc w:val="left"/>
      <w:pPr>
        <w:ind w:left="878" w:hanging="360"/>
      </w:pPr>
      <w:rPr>
        <w:rFonts w:ascii="Symbol" w:hAnsi="Symbol" w:hint="default"/>
      </w:rPr>
    </w:lvl>
    <w:lvl w:ilvl="1" w:tplc="D4F69CEC" w:tentative="1">
      <w:start w:val="1"/>
      <w:numFmt w:val="bullet"/>
      <w:lvlText w:val="o"/>
      <w:lvlJc w:val="left"/>
      <w:pPr>
        <w:ind w:left="1598" w:hanging="360"/>
      </w:pPr>
      <w:rPr>
        <w:rFonts w:ascii="Courier New" w:hAnsi="Courier New" w:cs="Courier New" w:hint="default"/>
      </w:rPr>
    </w:lvl>
    <w:lvl w:ilvl="2" w:tplc="7C402074" w:tentative="1">
      <w:start w:val="1"/>
      <w:numFmt w:val="bullet"/>
      <w:lvlText w:val=""/>
      <w:lvlJc w:val="left"/>
      <w:pPr>
        <w:ind w:left="2318" w:hanging="360"/>
      </w:pPr>
      <w:rPr>
        <w:rFonts w:ascii="Wingdings" w:hAnsi="Wingdings" w:hint="default"/>
      </w:rPr>
    </w:lvl>
    <w:lvl w:ilvl="3" w:tplc="431ABC34" w:tentative="1">
      <w:start w:val="1"/>
      <w:numFmt w:val="bullet"/>
      <w:lvlText w:val=""/>
      <w:lvlJc w:val="left"/>
      <w:pPr>
        <w:ind w:left="3038" w:hanging="360"/>
      </w:pPr>
      <w:rPr>
        <w:rFonts w:ascii="Symbol" w:hAnsi="Symbol" w:hint="default"/>
      </w:rPr>
    </w:lvl>
    <w:lvl w:ilvl="4" w:tplc="8C14686C" w:tentative="1">
      <w:start w:val="1"/>
      <w:numFmt w:val="bullet"/>
      <w:lvlText w:val="o"/>
      <w:lvlJc w:val="left"/>
      <w:pPr>
        <w:ind w:left="3758" w:hanging="360"/>
      </w:pPr>
      <w:rPr>
        <w:rFonts w:ascii="Courier New" w:hAnsi="Courier New" w:cs="Courier New" w:hint="default"/>
      </w:rPr>
    </w:lvl>
    <w:lvl w:ilvl="5" w:tplc="79760110" w:tentative="1">
      <w:start w:val="1"/>
      <w:numFmt w:val="bullet"/>
      <w:lvlText w:val=""/>
      <w:lvlJc w:val="left"/>
      <w:pPr>
        <w:ind w:left="4478" w:hanging="360"/>
      </w:pPr>
      <w:rPr>
        <w:rFonts w:ascii="Wingdings" w:hAnsi="Wingdings" w:hint="default"/>
      </w:rPr>
    </w:lvl>
    <w:lvl w:ilvl="6" w:tplc="0346FA6A" w:tentative="1">
      <w:start w:val="1"/>
      <w:numFmt w:val="bullet"/>
      <w:lvlText w:val=""/>
      <w:lvlJc w:val="left"/>
      <w:pPr>
        <w:ind w:left="5198" w:hanging="360"/>
      </w:pPr>
      <w:rPr>
        <w:rFonts w:ascii="Symbol" w:hAnsi="Symbol" w:hint="default"/>
      </w:rPr>
    </w:lvl>
    <w:lvl w:ilvl="7" w:tplc="4036D908" w:tentative="1">
      <w:start w:val="1"/>
      <w:numFmt w:val="bullet"/>
      <w:lvlText w:val="o"/>
      <w:lvlJc w:val="left"/>
      <w:pPr>
        <w:ind w:left="5918" w:hanging="360"/>
      </w:pPr>
      <w:rPr>
        <w:rFonts w:ascii="Courier New" w:hAnsi="Courier New" w:cs="Courier New" w:hint="default"/>
      </w:rPr>
    </w:lvl>
    <w:lvl w:ilvl="8" w:tplc="AA3AFC4A"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4CB4EF7C">
      <w:start w:val="1"/>
      <w:numFmt w:val="bullet"/>
      <w:lvlText w:val=""/>
      <w:lvlJc w:val="left"/>
      <w:pPr>
        <w:ind w:left="720" w:hanging="360"/>
      </w:pPr>
      <w:rPr>
        <w:rFonts w:ascii="Symbol" w:hAnsi="Symbol" w:hint="default"/>
      </w:rPr>
    </w:lvl>
    <w:lvl w:ilvl="1" w:tplc="1946E9B8" w:tentative="1">
      <w:start w:val="1"/>
      <w:numFmt w:val="bullet"/>
      <w:lvlText w:val="o"/>
      <w:lvlJc w:val="left"/>
      <w:pPr>
        <w:ind w:left="1440" w:hanging="360"/>
      </w:pPr>
      <w:rPr>
        <w:rFonts w:ascii="Courier New" w:hAnsi="Courier New" w:cs="Courier New" w:hint="default"/>
      </w:rPr>
    </w:lvl>
    <w:lvl w:ilvl="2" w:tplc="BEE254D0" w:tentative="1">
      <w:start w:val="1"/>
      <w:numFmt w:val="bullet"/>
      <w:lvlText w:val=""/>
      <w:lvlJc w:val="left"/>
      <w:pPr>
        <w:ind w:left="2160" w:hanging="360"/>
      </w:pPr>
      <w:rPr>
        <w:rFonts w:ascii="Wingdings" w:hAnsi="Wingdings" w:hint="default"/>
      </w:rPr>
    </w:lvl>
    <w:lvl w:ilvl="3" w:tplc="1458DB9C" w:tentative="1">
      <w:start w:val="1"/>
      <w:numFmt w:val="bullet"/>
      <w:lvlText w:val=""/>
      <w:lvlJc w:val="left"/>
      <w:pPr>
        <w:ind w:left="2880" w:hanging="360"/>
      </w:pPr>
      <w:rPr>
        <w:rFonts w:ascii="Symbol" w:hAnsi="Symbol" w:hint="default"/>
      </w:rPr>
    </w:lvl>
    <w:lvl w:ilvl="4" w:tplc="AFF603E6" w:tentative="1">
      <w:start w:val="1"/>
      <w:numFmt w:val="bullet"/>
      <w:lvlText w:val="o"/>
      <w:lvlJc w:val="left"/>
      <w:pPr>
        <w:ind w:left="3600" w:hanging="360"/>
      </w:pPr>
      <w:rPr>
        <w:rFonts w:ascii="Courier New" w:hAnsi="Courier New" w:cs="Courier New" w:hint="default"/>
      </w:rPr>
    </w:lvl>
    <w:lvl w:ilvl="5" w:tplc="0FE8A64E" w:tentative="1">
      <w:start w:val="1"/>
      <w:numFmt w:val="bullet"/>
      <w:lvlText w:val=""/>
      <w:lvlJc w:val="left"/>
      <w:pPr>
        <w:ind w:left="4320" w:hanging="360"/>
      </w:pPr>
      <w:rPr>
        <w:rFonts w:ascii="Wingdings" w:hAnsi="Wingdings" w:hint="default"/>
      </w:rPr>
    </w:lvl>
    <w:lvl w:ilvl="6" w:tplc="8E3ABCEA" w:tentative="1">
      <w:start w:val="1"/>
      <w:numFmt w:val="bullet"/>
      <w:lvlText w:val=""/>
      <w:lvlJc w:val="left"/>
      <w:pPr>
        <w:ind w:left="5040" w:hanging="360"/>
      </w:pPr>
      <w:rPr>
        <w:rFonts w:ascii="Symbol" w:hAnsi="Symbol" w:hint="default"/>
      </w:rPr>
    </w:lvl>
    <w:lvl w:ilvl="7" w:tplc="DC6253A2" w:tentative="1">
      <w:start w:val="1"/>
      <w:numFmt w:val="bullet"/>
      <w:lvlText w:val="o"/>
      <w:lvlJc w:val="left"/>
      <w:pPr>
        <w:ind w:left="5760" w:hanging="360"/>
      </w:pPr>
      <w:rPr>
        <w:rFonts w:ascii="Courier New" w:hAnsi="Courier New" w:cs="Courier New" w:hint="default"/>
      </w:rPr>
    </w:lvl>
    <w:lvl w:ilvl="8" w:tplc="E39EA954"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1206F17C">
      <w:start w:val="1"/>
      <w:numFmt w:val="bullet"/>
      <w:lvlText w:val=""/>
      <w:lvlJc w:val="left"/>
      <w:pPr>
        <w:ind w:left="360" w:hanging="360"/>
      </w:pPr>
      <w:rPr>
        <w:rFonts w:ascii="Symbol" w:hAnsi="Symbol" w:hint="default"/>
      </w:rPr>
    </w:lvl>
    <w:lvl w:ilvl="1" w:tplc="CC6A9998" w:tentative="1">
      <w:start w:val="1"/>
      <w:numFmt w:val="bullet"/>
      <w:lvlText w:val="o"/>
      <w:lvlJc w:val="left"/>
      <w:pPr>
        <w:ind w:left="1080" w:hanging="360"/>
      </w:pPr>
      <w:rPr>
        <w:rFonts w:ascii="Courier New" w:hAnsi="Courier New" w:cs="Courier New" w:hint="default"/>
      </w:rPr>
    </w:lvl>
    <w:lvl w:ilvl="2" w:tplc="01DA5C18" w:tentative="1">
      <w:start w:val="1"/>
      <w:numFmt w:val="bullet"/>
      <w:lvlText w:val=""/>
      <w:lvlJc w:val="left"/>
      <w:pPr>
        <w:ind w:left="1800" w:hanging="360"/>
      </w:pPr>
      <w:rPr>
        <w:rFonts w:ascii="Wingdings" w:hAnsi="Wingdings" w:hint="default"/>
      </w:rPr>
    </w:lvl>
    <w:lvl w:ilvl="3" w:tplc="7500E5BC" w:tentative="1">
      <w:start w:val="1"/>
      <w:numFmt w:val="bullet"/>
      <w:lvlText w:val=""/>
      <w:lvlJc w:val="left"/>
      <w:pPr>
        <w:ind w:left="2520" w:hanging="360"/>
      </w:pPr>
      <w:rPr>
        <w:rFonts w:ascii="Symbol" w:hAnsi="Symbol" w:hint="default"/>
      </w:rPr>
    </w:lvl>
    <w:lvl w:ilvl="4" w:tplc="DFD81D08" w:tentative="1">
      <w:start w:val="1"/>
      <w:numFmt w:val="bullet"/>
      <w:lvlText w:val="o"/>
      <w:lvlJc w:val="left"/>
      <w:pPr>
        <w:ind w:left="3240" w:hanging="360"/>
      </w:pPr>
      <w:rPr>
        <w:rFonts w:ascii="Courier New" w:hAnsi="Courier New" w:cs="Courier New" w:hint="default"/>
      </w:rPr>
    </w:lvl>
    <w:lvl w:ilvl="5" w:tplc="34E6D906" w:tentative="1">
      <w:start w:val="1"/>
      <w:numFmt w:val="bullet"/>
      <w:lvlText w:val=""/>
      <w:lvlJc w:val="left"/>
      <w:pPr>
        <w:ind w:left="3960" w:hanging="360"/>
      </w:pPr>
      <w:rPr>
        <w:rFonts w:ascii="Wingdings" w:hAnsi="Wingdings" w:hint="default"/>
      </w:rPr>
    </w:lvl>
    <w:lvl w:ilvl="6" w:tplc="6712A9A0" w:tentative="1">
      <w:start w:val="1"/>
      <w:numFmt w:val="bullet"/>
      <w:lvlText w:val=""/>
      <w:lvlJc w:val="left"/>
      <w:pPr>
        <w:ind w:left="4680" w:hanging="360"/>
      </w:pPr>
      <w:rPr>
        <w:rFonts w:ascii="Symbol" w:hAnsi="Symbol" w:hint="default"/>
      </w:rPr>
    </w:lvl>
    <w:lvl w:ilvl="7" w:tplc="E96A16F2" w:tentative="1">
      <w:start w:val="1"/>
      <w:numFmt w:val="bullet"/>
      <w:lvlText w:val="o"/>
      <w:lvlJc w:val="left"/>
      <w:pPr>
        <w:ind w:left="5400" w:hanging="360"/>
      </w:pPr>
      <w:rPr>
        <w:rFonts w:ascii="Courier New" w:hAnsi="Courier New" w:cs="Courier New" w:hint="default"/>
      </w:rPr>
    </w:lvl>
    <w:lvl w:ilvl="8" w:tplc="AA1455C2"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09185B06">
      <w:start w:val="1"/>
      <w:numFmt w:val="lowerRoman"/>
      <w:lvlText w:val="(%1)"/>
      <w:lvlJc w:val="right"/>
      <w:pPr>
        <w:ind w:left="720" w:hanging="360"/>
      </w:pPr>
      <w:rPr>
        <w:rFonts w:ascii="Arial" w:eastAsia="MS Mincho" w:hAnsi="Arial" w:cs="Arial"/>
        <w:b/>
        <w:bCs w:val="0"/>
      </w:rPr>
    </w:lvl>
    <w:lvl w:ilvl="1" w:tplc="78642CC4">
      <w:start w:val="1"/>
      <w:numFmt w:val="lowerLetter"/>
      <w:lvlText w:val="%2."/>
      <w:lvlJc w:val="left"/>
      <w:pPr>
        <w:ind w:left="1440" w:hanging="360"/>
      </w:pPr>
    </w:lvl>
    <w:lvl w:ilvl="2" w:tplc="E3EA3336">
      <w:start w:val="1"/>
      <w:numFmt w:val="lowerRoman"/>
      <w:lvlText w:val="%3."/>
      <w:lvlJc w:val="right"/>
      <w:pPr>
        <w:ind w:left="2160" w:hanging="180"/>
      </w:pPr>
    </w:lvl>
    <w:lvl w:ilvl="3" w:tplc="EC0AF982">
      <w:start w:val="1"/>
      <w:numFmt w:val="decimal"/>
      <w:lvlText w:val="%4."/>
      <w:lvlJc w:val="left"/>
      <w:pPr>
        <w:ind w:left="2880" w:hanging="360"/>
      </w:pPr>
    </w:lvl>
    <w:lvl w:ilvl="4" w:tplc="BCE0759C">
      <w:start w:val="1"/>
      <w:numFmt w:val="lowerLetter"/>
      <w:lvlText w:val="%5."/>
      <w:lvlJc w:val="left"/>
      <w:pPr>
        <w:ind w:left="3600" w:hanging="360"/>
      </w:pPr>
    </w:lvl>
    <w:lvl w:ilvl="5" w:tplc="3C46D132" w:tentative="1">
      <w:start w:val="1"/>
      <w:numFmt w:val="lowerRoman"/>
      <w:lvlText w:val="%6."/>
      <w:lvlJc w:val="right"/>
      <w:pPr>
        <w:ind w:left="4320" w:hanging="180"/>
      </w:pPr>
    </w:lvl>
    <w:lvl w:ilvl="6" w:tplc="F1DC18AC" w:tentative="1">
      <w:start w:val="1"/>
      <w:numFmt w:val="decimal"/>
      <w:lvlText w:val="%7."/>
      <w:lvlJc w:val="left"/>
      <w:pPr>
        <w:ind w:left="5040" w:hanging="360"/>
      </w:pPr>
    </w:lvl>
    <w:lvl w:ilvl="7" w:tplc="0256EED2" w:tentative="1">
      <w:start w:val="1"/>
      <w:numFmt w:val="lowerLetter"/>
      <w:lvlText w:val="%8."/>
      <w:lvlJc w:val="left"/>
      <w:pPr>
        <w:ind w:left="5760" w:hanging="360"/>
      </w:pPr>
    </w:lvl>
    <w:lvl w:ilvl="8" w:tplc="8EF8440A"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A9607BFE">
      <w:start w:val="1"/>
      <w:numFmt w:val="bullet"/>
      <w:lvlText w:val=""/>
      <w:lvlJc w:val="left"/>
      <w:pPr>
        <w:ind w:left="720" w:hanging="360"/>
      </w:pPr>
      <w:rPr>
        <w:rFonts w:ascii="Symbol" w:hAnsi="Symbol" w:hint="default"/>
      </w:rPr>
    </w:lvl>
    <w:lvl w:ilvl="1" w:tplc="2F321492" w:tentative="1">
      <w:start w:val="1"/>
      <w:numFmt w:val="bullet"/>
      <w:lvlText w:val="o"/>
      <w:lvlJc w:val="left"/>
      <w:pPr>
        <w:ind w:left="1440" w:hanging="360"/>
      </w:pPr>
      <w:rPr>
        <w:rFonts w:ascii="Courier New" w:hAnsi="Courier New" w:cs="Courier New" w:hint="default"/>
      </w:rPr>
    </w:lvl>
    <w:lvl w:ilvl="2" w:tplc="7A6618F6" w:tentative="1">
      <w:start w:val="1"/>
      <w:numFmt w:val="bullet"/>
      <w:lvlText w:val=""/>
      <w:lvlJc w:val="left"/>
      <w:pPr>
        <w:ind w:left="2160" w:hanging="360"/>
      </w:pPr>
      <w:rPr>
        <w:rFonts w:ascii="Wingdings" w:hAnsi="Wingdings" w:hint="default"/>
      </w:rPr>
    </w:lvl>
    <w:lvl w:ilvl="3" w:tplc="FE80118C" w:tentative="1">
      <w:start w:val="1"/>
      <w:numFmt w:val="bullet"/>
      <w:lvlText w:val=""/>
      <w:lvlJc w:val="left"/>
      <w:pPr>
        <w:ind w:left="2880" w:hanging="360"/>
      </w:pPr>
      <w:rPr>
        <w:rFonts w:ascii="Symbol" w:hAnsi="Symbol" w:hint="default"/>
      </w:rPr>
    </w:lvl>
    <w:lvl w:ilvl="4" w:tplc="6EE25A26" w:tentative="1">
      <w:start w:val="1"/>
      <w:numFmt w:val="bullet"/>
      <w:lvlText w:val="o"/>
      <w:lvlJc w:val="left"/>
      <w:pPr>
        <w:ind w:left="3600" w:hanging="360"/>
      </w:pPr>
      <w:rPr>
        <w:rFonts w:ascii="Courier New" w:hAnsi="Courier New" w:cs="Courier New" w:hint="default"/>
      </w:rPr>
    </w:lvl>
    <w:lvl w:ilvl="5" w:tplc="EB1C17E8" w:tentative="1">
      <w:start w:val="1"/>
      <w:numFmt w:val="bullet"/>
      <w:lvlText w:val=""/>
      <w:lvlJc w:val="left"/>
      <w:pPr>
        <w:ind w:left="4320" w:hanging="360"/>
      </w:pPr>
      <w:rPr>
        <w:rFonts w:ascii="Wingdings" w:hAnsi="Wingdings" w:hint="default"/>
      </w:rPr>
    </w:lvl>
    <w:lvl w:ilvl="6" w:tplc="6CAC95EE" w:tentative="1">
      <w:start w:val="1"/>
      <w:numFmt w:val="bullet"/>
      <w:lvlText w:val=""/>
      <w:lvlJc w:val="left"/>
      <w:pPr>
        <w:ind w:left="5040" w:hanging="360"/>
      </w:pPr>
      <w:rPr>
        <w:rFonts w:ascii="Symbol" w:hAnsi="Symbol" w:hint="default"/>
      </w:rPr>
    </w:lvl>
    <w:lvl w:ilvl="7" w:tplc="66E6F66E" w:tentative="1">
      <w:start w:val="1"/>
      <w:numFmt w:val="bullet"/>
      <w:lvlText w:val="o"/>
      <w:lvlJc w:val="left"/>
      <w:pPr>
        <w:ind w:left="5760" w:hanging="360"/>
      </w:pPr>
      <w:rPr>
        <w:rFonts w:ascii="Courier New" w:hAnsi="Courier New" w:cs="Courier New" w:hint="default"/>
      </w:rPr>
    </w:lvl>
    <w:lvl w:ilvl="8" w:tplc="68B210E4"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0CC2AC3E">
      <w:start w:val="1"/>
      <w:numFmt w:val="lowerRoman"/>
      <w:lvlText w:val="%1."/>
      <w:lvlJc w:val="left"/>
      <w:pPr>
        <w:ind w:left="1080" w:hanging="720"/>
      </w:pPr>
      <w:rPr>
        <w:rFonts w:hint="default"/>
      </w:rPr>
    </w:lvl>
    <w:lvl w:ilvl="1" w:tplc="5706FA9E" w:tentative="1">
      <w:start w:val="1"/>
      <w:numFmt w:val="lowerLetter"/>
      <w:lvlText w:val="%2."/>
      <w:lvlJc w:val="left"/>
      <w:pPr>
        <w:ind w:left="1440" w:hanging="360"/>
      </w:pPr>
    </w:lvl>
    <w:lvl w:ilvl="2" w:tplc="3A506D2C" w:tentative="1">
      <w:start w:val="1"/>
      <w:numFmt w:val="lowerRoman"/>
      <w:lvlText w:val="%3."/>
      <w:lvlJc w:val="right"/>
      <w:pPr>
        <w:ind w:left="2160" w:hanging="180"/>
      </w:pPr>
    </w:lvl>
    <w:lvl w:ilvl="3" w:tplc="9A4A7000" w:tentative="1">
      <w:start w:val="1"/>
      <w:numFmt w:val="decimal"/>
      <w:lvlText w:val="%4."/>
      <w:lvlJc w:val="left"/>
      <w:pPr>
        <w:ind w:left="2880" w:hanging="360"/>
      </w:pPr>
    </w:lvl>
    <w:lvl w:ilvl="4" w:tplc="2FE4B1EE" w:tentative="1">
      <w:start w:val="1"/>
      <w:numFmt w:val="lowerLetter"/>
      <w:lvlText w:val="%5."/>
      <w:lvlJc w:val="left"/>
      <w:pPr>
        <w:ind w:left="3600" w:hanging="360"/>
      </w:pPr>
    </w:lvl>
    <w:lvl w:ilvl="5" w:tplc="A5CCFEF6" w:tentative="1">
      <w:start w:val="1"/>
      <w:numFmt w:val="lowerRoman"/>
      <w:lvlText w:val="%6."/>
      <w:lvlJc w:val="right"/>
      <w:pPr>
        <w:ind w:left="4320" w:hanging="180"/>
      </w:pPr>
    </w:lvl>
    <w:lvl w:ilvl="6" w:tplc="ADEA8212" w:tentative="1">
      <w:start w:val="1"/>
      <w:numFmt w:val="decimal"/>
      <w:lvlText w:val="%7."/>
      <w:lvlJc w:val="left"/>
      <w:pPr>
        <w:ind w:left="5040" w:hanging="360"/>
      </w:pPr>
    </w:lvl>
    <w:lvl w:ilvl="7" w:tplc="6F6A9BFA" w:tentative="1">
      <w:start w:val="1"/>
      <w:numFmt w:val="lowerLetter"/>
      <w:lvlText w:val="%8."/>
      <w:lvlJc w:val="left"/>
      <w:pPr>
        <w:ind w:left="5760" w:hanging="360"/>
      </w:pPr>
    </w:lvl>
    <w:lvl w:ilvl="8" w:tplc="38D221B2"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383A9CAC">
      <w:start w:val="1"/>
      <w:numFmt w:val="bullet"/>
      <w:lvlText w:val=""/>
      <w:lvlJc w:val="left"/>
      <w:pPr>
        <w:ind w:left="720" w:hanging="360"/>
      </w:pPr>
      <w:rPr>
        <w:rFonts w:ascii="Symbol" w:hAnsi="Symbol" w:hint="default"/>
      </w:rPr>
    </w:lvl>
    <w:lvl w:ilvl="1" w:tplc="1680A03A" w:tentative="1">
      <w:start w:val="1"/>
      <w:numFmt w:val="bullet"/>
      <w:lvlText w:val="o"/>
      <w:lvlJc w:val="left"/>
      <w:pPr>
        <w:ind w:left="1440" w:hanging="360"/>
      </w:pPr>
      <w:rPr>
        <w:rFonts w:ascii="Courier New" w:hAnsi="Courier New" w:cs="Courier New" w:hint="default"/>
      </w:rPr>
    </w:lvl>
    <w:lvl w:ilvl="2" w:tplc="3CC00B7A" w:tentative="1">
      <w:start w:val="1"/>
      <w:numFmt w:val="bullet"/>
      <w:lvlText w:val=""/>
      <w:lvlJc w:val="left"/>
      <w:pPr>
        <w:ind w:left="2160" w:hanging="360"/>
      </w:pPr>
      <w:rPr>
        <w:rFonts w:ascii="Wingdings" w:hAnsi="Wingdings" w:hint="default"/>
      </w:rPr>
    </w:lvl>
    <w:lvl w:ilvl="3" w:tplc="A12488DC" w:tentative="1">
      <w:start w:val="1"/>
      <w:numFmt w:val="bullet"/>
      <w:lvlText w:val=""/>
      <w:lvlJc w:val="left"/>
      <w:pPr>
        <w:ind w:left="2880" w:hanging="360"/>
      </w:pPr>
      <w:rPr>
        <w:rFonts w:ascii="Symbol" w:hAnsi="Symbol" w:hint="default"/>
      </w:rPr>
    </w:lvl>
    <w:lvl w:ilvl="4" w:tplc="D57E0166" w:tentative="1">
      <w:start w:val="1"/>
      <w:numFmt w:val="bullet"/>
      <w:lvlText w:val="o"/>
      <w:lvlJc w:val="left"/>
      <w:pPr>
        <w:ind w:left="3600" w:hanging="360"/>
      </w:pPr>
      <w:rPr>
        <w:rFonts w:ascii="Courier New" w:hAnsi="Courier New" w:cs="Courier New" w:hint="default"/>
      </w:rPr>
    </w:lvl>
    <w:lvl w:ilvl="5" w:tplc="F39A12DE" w:tentative="1">
      <w:start w:val="1"/>
      <w:numFmt w:val="bullet"/>
      <w:lvlText w:val=""/>
      <w:lvlJc w:val="left"/>
      <w:pPr>
        <w:ind w:left="4320" w:hanging="360"/>
      </w:pPr>
      <w:rPr>
        <w:rFonts w:ascii="Wingdings" w:hAnsi="Wingdings" w:hint="default"/>
      </w:rPr>
    </w:lvl>
    <w:lvl w:ilvl="6" w:tplc="299CCF5A" w:tentative="1">
      <w:start w:val="1"/>
      <w:numFmt w:val="bullet"/>
      <w:lvlText w:val=""/>
      <w:lvlJc w:val="left"/>
      <w:pPr>
        <w:ind w:left="5040" w:hanging="360"/>
      </w:pPr>
      <w:rPr>
        <w:rFonts w:ascii="Symbol" w:hAnsi="Symbol" w:hint="default"/>
      </w:rPr>
    </w:lvl>
    <w:lvl w:ilvl="7" w:tplc="57DAC708" w:tentative="1">
      <w:start w:val="1"/>
      <w:numFmt w:val="bullet"/>
      <w:lvlText w:val="o"/>
      <w:lvlJc w:val="left"/>
      <w:pPr>
        <w:ind w:left="5760" w:hanging="360"/>
      </w:pPr>
      <w:rPr>
        <w:rFonts w:ascii="Courier New" w:hAnsi="Courier New" w:cs="Courier New" w:hint="default"/>
      </w:rPr>
    </w:lvl>
    <w:lvl w:ilvl="8" w:tplc="F734371E"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5F6AE85A">
      <w:start w:val="1"/>
      <w:numFmt w:val="bullet"/>
      <w:lvlText w:val=""/>
      <w:lvlJc w:val="left"/>
      <w:pPr>
        <w:ind w:left="900" w:hanging="360"/>
      </w:pPr>
      <w:rPr>
        <w:rFonts w:ascii="Symbol" w:hAnsi="Symbol" w:hint="default"/>
      </w:rPr>
    </w:lvl>
    <w:lvl w:ilvl="1" w:tplc="8A566ADA">
      <w:start w:val="1"/>
      <w:numFmt w:val="bullet"/>
      <w:lvlText w:val="o"/>
      <w:lvlJc w:val="left"/>
      <w:pPr>
        <w:ind w:left="1620" w:hanging="360"/>
      </w:pPr>
      <w:rPr>
        <w:rFonts w:ascii="Courier New" w:hAnsi="Courier New" w:cs="Courier New" w:hint="default"/>
      </w:rPr>
    </w:lvl>
    <w:lvl w:ilvl="2" w:tplc="CE5089E2" w:tentative="1">
      <w:start w:val="1"/>
      <w:numFmt w:val="bullet"/>
      <w:lvlText w:val=""/>
      <w:lvlJc w:val="left"/>
      <w:pPr>
        <w:ind w:left="2340" w:hanging="360"/>
      </w:pPr>
      <w:rPr>
        <w:rFonts w:ascii="Wingdings" w:hAnsi="Wingdings" w:hint="default"/>
      </w:rPr>
    </w:lvl>
    <w:lvl w:ilvl="3" w:tplc="1EE470D6" w:tentative="1">
      <w:start w:val="1"/>
      <w:numFmt w:val="bullet"/>
      <w:lvlText w:val=""/>
      <w:lvlJc w:val="left"/>
      <w:pPr>
        <w:ind w:left="3060" w:hanging="360"/>
      </w:pPr>
      <w:rPr>
        <w:rFonts w:ascii="Symbol" w:hAnsi="Symbol" w:hint="default"/>
      </w:rPr>
    </w:lvl>
    <w:lvl w:ilvl="4" w:tplc="648A6C4E" w:tentative="1">
      <w:start w:val="1"/>
      <w:numFmt w:val="bullet"/>
      <w:lvlText w:val="o"/>
      <w:lvlJc w:val="left"/>
      <w:pPr>
        <w:ind w:left="3780" w:hanging="360"/>
      </w:pPr>
      <w:rPr>
        <w:rFonts w:ascii="Courier New" w:hAnsi="Courier New" w:cs="Courier New" w:hint="default"/>
      </w:rPr>
    </w:lvl>
    <w:lvl w:ilvl="5" w:tplc="7280F904" w:tentative="1">
      <w:start w:val="1"/>
      <w:numFmt w:val="bullet"/>
      <w:lvlText w:val=""/>
      <w:lvlJc w:val="left"/>
      <w:pPr>
        <w:ind w:left="4500" w:hanging="360"/>
      </w:pPr>
      <w:rPr>
        <w:rFonts w:ascii="Wingdings" w:hAnsi="Wingdings" w:hint="default"/>
      </w:rPr>
    </w:lvl>
    <w:lvl w:ilvl="6" w:tplc="CD62C6BE" w:tentative="1">
      <w:start w:val="1"/>
      <w:numFmt w:val="bullet"/>
      <w:lvlText w:val=""/>
      <w:lvlJc w:val="left"/>
      <w:pPr>
        <w:ind w:left="5220" w:hanging="360"/>
      </w:pPr>
      <w:rPr>
        <w:rFonts w:ascii="Symbol" w:hAnsi="Symbol" w:hint="default"/>
      </w:rPr>
    </w:lvl>
    <w:lvl w:ilvl="7" w:tplc="EEDAD94C" w:tentative="1">
      <w:start w:val="1"/>
      <w:numFmt w:val="bullet"/>
      <w:lvlText w:val="o"/>
      <w:lvlJc w:val="left"/>
      <w:pPr>
        <w:ind w:left="5940" w:hanging="360"/>
      </w:pPr>
      <w:rPr>
        <w:rFonts w:ascii="Courier New" w:hAnsi="Courier New" w:cs="Courier New" w:hint="default"/>
      </w:rPr>
    </w:lvl>
    <w:lvl w:ilvl="8" w:tplc="EF4E4BD4"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A368487A">
      <w:start w:val="1"/>
      <w:numFmt w:val="lowerRoman"/>
      <w:lvlText w:val="(%1)"/>
      <w:lvlJc w:val="right"/>
      <w:pPr>
        <w:ind w:left="720" w:hanging="360"/>
      </w:pPr>
      <w:rPr>
        <w:rFonts w:ascii="Arial" w:eastAsia="MS Mincho" w:hAnsi="Arial" w:cs="Arial"/>
        <w:b/>
        <w:bCs w:val="0"/>
      </w:rPr>
    </w:lvl>
    <w:lvl w:ilvl="1" w:tplc="C1660C84">
      <w:start w:val="1"/>
      <w:numFmt w:val="lowerLetter"/>
      <w:lvlText w:val="%2."/>
      <w:lvlJc w:val="left"/>
      <w:pPr>
        <w:ind w:left="1440" w:hanging="360"/>
      </w:pPr>
    </w:lvl>
    <w:lvl w:ilvl="2" w:tplc="A4BAF9B6">
      <w:start w:val="1"/>
      <w:numFmt w:val="bullet"/>
      <w:lvlText w:val=""/>
      <w:lvlJc w:val="left"/>
      <w:pPr>
        <w:ind w:left="2160" w:hanging="180"/>
      </w:pPr>
      <w:rPr>
        <w:rFonts w:ascii="Symbol" w:hAnsi="Symbol" w:hint="default"/>
      </w:rPr>
    </w:lvl>
    <w:lvl w:ilvl="3" w:tplc="510A5D0E">
      <w:start w:val="1"/>
      <w:numFmt w:val="decimal"/>
      <w:lvlText w:val="%4."/>
      <w:lvlJc w:val="left"/>
      <w:pPr>
        <w:ind w:left="2880" w:hanging="360"/>
      </w:pPr>
    </w:lvl>
    <w:lvl w:ilvl="4" w:tplc="75ACB3A6">
      <w:start w:val="1"/>
      <w:numFmt w:val="lowerLetter"/>
      <w:lvlText w:val="%5."/>
      <w:lvlJc w:val="left"/>
      <w:pPr>
        <w:ind w:left="3600" w:hanging="360"/>
      </w:pPr>
    </w:lvl>
    <w:lvl w:ilvl="5" w:tplc="91607544" w:tentative="1">
      <w:start w:val="1"/>
      <w:numFmt w:val="lowerRoman"/>
      <w:lvlText w:val="%6."/>
      <w:lvlJc w:val="right"/>
      <w:pPr>
        <w:ind w:left="4320" w:hanging="180"/>
      </w:pPr>
    </w:lvl>
    <w:lvl w:ilvl="6" w:tplc="347CE3F0" w:tentative="1">
      <w:start w:val="1"/>
      <w:numFmt w:val="decimal"/>
      <w:lvlText w:val="%7."/>
      <w:lvlJc w:val="left"/>
      <w:pPr>
        <w:ind w:left="5040" w:hanging="360"/>
      </w:pPr>
    </w:lvl>
    <w:lvl w:ilvl="7" w:tplc="235A7974" w:tentative="1">
      <w:start w:val="1"/>
      <w:numFmt w:val="lowerLetter"/>
      <w:lvlText w:val="%8."/>
      <w:lvlJc w:val="left"/>
      <w:pPr>
        <w:ind w:left="5760" w:hanging="360"/>
      </w:pPr>
    </w:lvl>
    <w:lvl w:ilvl="8" w:tplc="F0D80F92"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72ktjUYAnzSQ8DN36veTo/OeEc8rXfRLVjRBlyklU1eZMzBZWzRImhiIwvmj1dRXl1//HWuPfSBUBWT7ooy5w==" w:salt="Mp1zgooZC2chUpkex2z4Ng=="/>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865"/>
    <w:rsid w:val="0014121B"/>
    <w:rsid w:val="00335865"/>
    <w:rsid w:val="00717395"/>
    <w:rsid w:val="00AD60C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pPr>
      <w:spacing w:after="240"/>
    </w:pPr>
    <w:rPr>
      <w:rFonts w:asciiTheme="majorHAnsi" w:hAnsiTheme="majorHAnsi"/>
      <w:b/>
      <w:sz w:val="40"/>
    </w:rPr>
  </w:style>
  <w:style w:type="character" w:customStyle="1" w:styleId="ProductList-BodyChar">
    <w:name w:val="Product List - Body Char"/>
    <w:basedOn w:val="DefaultParagraphFont"/>
    <w:link w:val="ProductList-Body"/>
    <w:rPr>
      <w:sz w:val="18"/>
    </w:rPr>
  </w:style>
  <w:style w:type="character" w:customStyle="1" w:styleId="ProductList-SectionHeadingChar">
    <w:name w:val="Product List - Section Heading Char"/>
    <w:basedOn w:val="ProductList-BodyChar"/>
    <w:link w:val="ProductList-SectionHeading"/>
    <w:rPr>
      <w:rFonts w:asciiTheme="majorHAnsi" w:hAnsiTheme="majorHAnsi"/>
      <w:b/>
      <w:sz w:val="4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Pr>
      <w:b/>
      <w:color w:val="00188F"/>
    </w:rPr>
  </w:style>
  <w:style w:type="character" w:customStyle="1" w:styleId="ProductList-SubSubSectionHeadingChar">
    <w:name w:val="Product List - SubSubSection Heading Char"/>
    <w:basedOn w:val="ProductList-BodyChar"/>
    <w:link w:val="ProductList-SubSubSectionHeading"/>
    <w:rPr>
      <w:b/>
      <w:color w:val="00188F"/>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Pr>
      <w:sz w:val="16"/>
    </w:rPr>
  </w:style>
  <w:style w:type="paragraph" w:customStyle="1" w:styleId="ProductList-SubSection1Heading">
    <w:name w:val="Product List - SubSection 1 Heading"/>
    <w:basedOn w:val="ProductList-Body"/>
    <w:link w:val="ProductList-SubSection1HeadingChar"/>
    <w:qFormat/>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Pr>
      <w:rFonts w:asciiTheme="majorHAnsi" w:hAnsiTheme="majorHAnsi"/>
      <w:b/>
      <w:sz w:val="2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style>
  <w:style w:type="character" w:customStyle="1" w:styleId="ProductList-Offering2Char">
    <w:name w:val="Product List - Offering 2 Char"/>
    <w:basedOn w:val="ProductList-BodyChar"/>
    <w:link w:val="ProductList-Offering2"/>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pPr>
      <w:tabs>
        <w:tab w:val="clear" w:pos="187"/>
      </w:tabs>
      <w:outlineLvl w:val="2"/>
    </w:pPr>
  </w:style>
  <w:style w:type="paragraph" w:styleId="TOC1">
    <w:name w:val="toc 1"/>
    <w:basedOn w:val="Normal"/>
    <w:next w:val="Normal"/>
    <w:autoRedefine/>
    <w:uiPriority w:val="39"/>
    <w:unhideWhenUsed/>
    <w:qFormat/>
    <w:pPr>
      <w:spacing w:before="120" w:after="120" w:line="252" w:lineRule="auto"/>
    </w:pPr>
    <w:rPr>
      <w:b/>
      <w:caps/>
      <w:sz w:val="18"/>
    </w:rPr>
  </w:style>
  <w:style w:type="paragraph" w:styleId="TOC2">
    <w:name w:val="toc 2"/>
    <w:basedOn w:val="Normal"/>
    <w:next w:val="Normal"/>
    <w:autoRedefine/>
    <w:uiPriority w:val="39"/>
    <w:unhideWhenUsed/>
    <w:pPr>
      <w:spacing w:after="0" w:line="252" w:lineRule="auto"/>
      <w:ind w:left="158"/>
    </w:pPr>
    <w:rPr>
      <w:b/>
      <w:smallCaps/>
      <w:sz w:val="18"/>
    </w:rPr>
  </w:style>
  <w:style w:type="paragraph" w:styleId="TOC3">
    <w:name w:val="toc 3"/>
    <w:basedOn w:val="Normal"/>
    <w:next w:val="Normal"/>
    <w:autoRedefine/>
    <w:uiPriority w:val="39"/>
    <w:unhideWhenUse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pPr>
      <w:spacing w:after="0" w:line="252" w:lineRule="auto"/>
      <w:ind w:left="317"/>
    </w:pPr>
    <w:rPr>
      <w:sz w:val="16"/>
    </w:rPr>
  </w:style>
  <w:style w:type="paragraph" w:styleId="TOC6">
    <w:name w:val="toc 6"/>
    <w:basedOn w:val="Normal"/>
    <w:next w:val="Normal"/>
    <w:autoRedefine/>
    <w:uiPriority w:val="39"/>
    <w:unhideWhenUse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Pr>
      <w:rFonts w:asciiTheme="majorHAnsi" w:hAnsiTheme="majorHAnsi"/>
      <w:b/>
      <w:sz w:val="28"/>
    </w:rPr>
  </w:style>
  <w:style w:type="character" w:styleId="FollowedHyperlink">
    <w:name w:val="FollowedHyperlink"/>
    <w:basedOn w:val="DefaultParagraphFont"/>
    <w:uiPriority w:val="99"/>
    <w:semiHidden/>
    <w:unhideWhenUsed/>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uiPriority w:val="99"/>
    <w:rPr>
      <w:rFonts w:cs="Times New Roman"/>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7">
    <w:name w:val="toc 7"/>
    <w:basedOn w:val="Normal"/>
    <w:next w:val="Normal"/>
    <w:autoRedefine/>
    <w:uiPriority w:val="39"/>
    <w:unhideWhenUsed/>
    <w:pPr>
      <w:spacing w:after="100"/>
      <w:ind w:left="1320"/>
    </w:pPr>
    <w:rPr>
      <w:rFonts w:eastAsiaTheme="minorEastAsia"/>
    </w:rPr>
  </w:style>
  <w:style w:type="paragraph" w:styleId="TOC8">
    <w:name w:val="toc 8"/>
    <w:basedOn w:val="Normal"/>
    <w:next w:val="Normal"/>
    <w:autoRedefine/>
    <w:uiPriority w:val="39"/>
    <w:unhideWhenUsed/>
    <w:pPr>
      <w:spacing w:after="100"/>
      <w:ind w:left="1540"/>
    </w:pPr>
    <w:rPr>
      <w:rFonts w:eastAsiaTheme="minorEastAsia"/>
    </w:rPr>
  </w:style>
  <w:style w:type="paragraph" w:styleId="TOC9">
    <w:name w:val="toc 9"/>
    <w:basedOn w:val="Normal"/>
    <w:next w:val="Normal"/>
    <w:autoRedefine/>
    <w:uiPriority w:val="39"/>
    <w:unhideWhenUsed/>
    <w:pPr>
      <w:spacing w:after="100"/>
      <w:ind w:left="1760"/>
    </w:pPr>
    <w:rPr>
      <w:rFonts w:eastAsiaTheme="minorEastAsia"/>
    </w:rPr>
  </w:style>
  <w:style w:type="paragraph" w:styleId="Revision">
    <w:name w:val="Revision"/>
    <w:hidden/>
    <w:uiPriority w:val="99"/>
    <w:semiHidden/>
    <w:pPr>
      <w:spacing w:after="0" w:line="240" w:lineRule="auto"/>
    </w:pPr>
  </w:style>
  <w:style w:type="paragraph" w:styleId="Index1">
    <w:name w:val="index 1"/>
    <w:basedOn w:val="Normal"/>
    <w:next w:val="Normal"/>
    <w:autoRedefine/>
    <w:uiPriority w:val="99"/>
    <w:semiHidden/>
    <w:unhideWhenUsed/>
    <w:pPr>
      <w:spacing w:after="0" w:line="240" w:lineRule="auto"/>
      <w:ind w:left="220" w:hanging="220"/>
    </w:pPr>
    <w:rPr>
      <w:sz w:val="16"/>
    </w:rPr>
  </w:style>
  <w:style w:type="paragraph" w:styleId="ListParagraph">
    <w:name w:val="List Paragraph"/>
    <w:basedOn w:val="Normal"/>
    <w:link w:val="ListParagraphChar"/>
    <w:uiPriority w:val="34"/>
    <w:qFormat/>
    <w:pPr>
      <w:ind w:left="720"/>
      <w:contextualSpacing/>
    </w:pPr>
  </w:style>
  <w:style w:type="table" w:customStyle="1" w:styleId="TableGrid1">
    <w:name w:val="Table Grid1"/>
    <w:basedOn w:val="TableNormal"/>
    <w:next w:val="TableGrid"/>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Pr>
      <w:rFonts w:ascii="Arial" w:hAnsi="Arial"/>
      <w:sz w:val="18"/>
      <w:szCs w:val="20"/>
    </w:rPr>
  </w:style>
  <w:style w:type="paragraph" w:customStyle="1" w:styleId="productlist-body0">
    <w:name w:val="productlist-body"/>
    <w:basedOn w:val="Normal"/>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Pr>
      <w:color w:val="2B579A"/>
      <w:shd w:val="clear" w:color="auto" w:fill="E6E6E6"/>
    </w:rPr>
  </w:style>
  <w:style w:type="character" w:customStyle="1" w:styleId="EVL-Amend-Preamble-FirstParaChar">
    <w:name w:val="E.  VL-Amend-Preamble-FirstPara Char"/>
    <w:basedOn w:val="DefaultParagraphFont"/>
    <w:link w:val="EVL-Amend-Preamble-FirstPara"/>
    <w:locked/>
    <w:rPr>
      <w:rFonts w:ascii="Arial" w:hAnsi="Arial" w:cs="Arial"/>
      <w:color w:val="000000"/>
    </w:rPr>
  </w:style>
  <w:style w:type="paragraph" w:customStyle="1" w:styleId="EVL-Amend-Preamble-FirstPara">
    <w:name w:val="E.  VL-Amend-Preamble-FirstPara"/>
    <w:basedOn w:val="Normal"/>
    <w:link w:val="EVL-Amend-Preamble-FirstParaChar"/>
    <w:qFormat/>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customStyle="1" w:styleId="Style4">
    <w:name w:val="Style4"/>
    <w:basedOn w:val="DefaultParagraphFont"/>
    <w:uiPriority w:val="1"/>
    <w:rPr>
      <w:rFonts w:ascii="Arial" w:hAnsi="Arial"/>
      <w:sz w:val="20"/>
    </w:rPr>
  </w:style>
  <w:style w:type="paragraph" w:styleId="NoSpacing">
    <w:name w:val="No Spacing"/>
    <w:link w:val="NoSpacingChar"/>
    <w:uiPriority w:val="1"/>
    <w:qFormat/>
    <w:pPr>
      <w:spacing w:after="0" w:line="240" w:lineRule="auto"/>
    </w:pPr>
    <w:rPr>
      <w:rFonts w:eastAsiaTheme="minorEastAsia"/>
    </w:rPr>
  </w:style>
  <w:style w:type="character" w:customStyle="1" w:styleId="NoSpacingChar">
    <w:name w:val="No Spacing Char"/>
    <w:basedOn w:val="DefaultParagraphFont"/>
    <w:link w:val="NoSpacing"/>
    <w:uiPriority w:val="1"/>
    <w:rPr>
      <w:rFonts w:eastAsiaTheme="minorEastAsia"/>
    </w:rPr>
  </w:style>
  <w:style w:type="character" w:customStyle="1" w:styleId="ListParagraphChar">
    <w:name w:val="List Paragraph Char"/>
    <w:basedOn w:val="DefaultParagraphFont"/>
    <w:link w:val="ListParagraph"/>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00CE5-214B-4EF6-9AF8-6146E5B2F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13123</Words>
  <Characters>74807</Characters>
  <Application>Microsoft Office Word</Application>
  <DocSecurity>8</DocSecurity>
  <Lines>623</Lines>
  <Paragraphs>175</Paragraphs>
  <ScaleCrop>false</ScaleCrop>
  <Company/>
  <LinksUpToDate>false</LinksUpToDate>
  <CharactersWithSpaces>87755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2019-01-04T18:27:00Z</dcterms:created>
  <dcterms:modified xsi:type="dcterms:W3CDTF">2019-01-04T18:27:00Z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2019-01-04T18:27:50.5572167Z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