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83C" w:rsidRPr="00DA393B" w:rsidRDefault="00B536F8" w:rsidP="006103CC">
      <w:pPr>
        <w:spacing w:before="240"/>
        <w:jc w:val="left"/>
        <w:rPr>
          <w:sz w:val="36"/>
          <w:szCs w:val="36"/>
        </w:rPr>
        <w:sectPr w:rsidR="00C5083C" w:rsidRPr="00DA393B" w:rsidSect="0041614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DA393B">
        <w:rPr>
          <w:sz w:val="36"/>
          <w:lang w:val="ca-ES"/>
        </w:rPr>
        <w:t>Enterprise i Enterprise Subscription</w:t>
      </w:r>
    </w:p>
    <w:p w:rsidR="00C5083C" w:rsidRPr="00DA393B" w:rsidRDefault="00B536F8" w:rsidP="00276746">
      <w:pPr>
        <w:spacing w:before="0"/>
        <w:rPr>
          <w:sz w:val="36"/>
          <w:szCs w:val="36"/>
        </w:rPr>
      </w:pPr>
      <w:r w:rsidRPr="00DA393B">
        <w:rPr>
          <w:sz w:val="36"/>
          <w:lang w:val="ca-ES"/>
        </w:rPr>
        <w:lastRenderedPageBreak/>
        <w:t>Select i Academic Select</w:t>
      </w:r>
    </w:p>
    <w:p w:rsidR="00C5083C" w:rsidRPr="00DA393B" w:rsidRDefault="00B536F8" w:rsidP="00276746">
      <w:pPr>
        <w:spacing w:before="0" w:after="240"/>
        <w:rPr>
          <w:sz w:val="36"/>
          <w:szCs w:val="36"/>
        </w:rPr>
      </w:pPr>
      <w:r w:rsidRPr="00DA393B">
        <w:rPr>
          <w:sz w:val="36"/>
          <w:lang w:val="ca-ES"/>
        </w:rPr>
        <w:t>Select Plus i Academic Select Plus</w:t>
      </w:r>
    </w:p>
    <w:p w:rsidR="00C5083C" w:rsidRPr="00DA393B" w:rsidRDefault="00B536F8" w:rsidP="00F47A3B">
      <w:pPr>
        <w:keepNext/>
        <w:spacing w:before="360" w:after="120"/>
        <w:rPr>
          <w:b/>
          <w:bCs/>
          <w:sz w:val="24"/>
          <w:szCs w:val="24"/>
        </w:rPr>
      </w:pPr>
      <w:r w:rsidRPr="00DA393B">
        <w:rPr>
          <w:b/>
          <w:sz w:val="24"/>
          <w:lang w:val="ca-ES"/>
        </w:rPr>
        <w:t>Taula de monedes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41"/>
        <w:gridCol w:w="6688"/>
      </w:tblGrid>
      <w:tr w:rsidR="00C5083C" w:rsidRPr="00DA393B" w:rsidTr="00DA393B">
        <w:trPr>
          <w:jc w:val="center"/>
        </w:trPr>
        <w:tc>
          <w:tcPr>
            <w:tcW w:w="2341" w:type="dxa"/>
            <w:shd w:val="clear" w:color="auto" w:fill="000000"/>
          </w:tcPr>
          <w:p w:rsidR="00C5083C" w:rsidRPr="00DA393B" w:rsidRDefault="00B536F8" w:rsidP="00E110B8">
            <w:pPr>
              <w:spacing w:after="120"/>
              <w:rPr>
                <w:b/>
                <w:bCs/>
                <w:color w:val="FFFFFF"/>
              </w:rPr>
            </w:pPr>
            <w:r w:rsidRPr="00DA393B">
              <w:rPr>
                <w:b/>
                <w:color w:val="FFFFFF"/>
                <w:lang w:val="ca-ES"/>
              </w:rPr>
              <w:t>Moneda</w:t>
            </w:r>
          </w:p>
        </w:tc>
        <w:tc>
          <w:tcPr>
            <w:tcW w:w="6688" w:type="dxa"/>
            <w:shd w:val="clear" w:color="auto" w:fill="000000"/>
          </w:tcPr>
          <w:p w:rsidR="00C5083C" w:rsidRPr="00DA393B" w:rsidRDefault="007B09D7" w:rsidP="007B09D7">
            <w:pPr>
              <w:spacing w:after="120"/>
              <w:rPr>
                <w:b/>
                <w:bCs/>
                <w:color w:val="FFFFFF"/>
              </w:rPr>
            </w:pPr>
            <w:r w:rsidRPr="00DA393B">
              <w:rPr>
                <w:b/>
                <w:color w:val="FFFFFF"/>
                <w:lang w:val="ca-ES"/>
              </w:rPr>
              <w:t>Acceptada a països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Dòlars australians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Austràlia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Dòlars canadencs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Canadà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18112C" w:rsidP="007B09D7">
            <w:pPr>
              <w:spacing w:before="0"/>
            </w:pPr>
            <w:r w:rsidRPr="00DA393B">
              <w:rPr>
                <w:lang w:val="ca-ES"/>
              </w:rPr>
              <w:t>Rupies índies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Índia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Ien japonès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Japó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Won coreà</w:t>
            </w:r>
          </w:p>
        </w:tc>
        <w:tc>
          <w:tcPr>
            <w:tcW w:w="6688" w:type="dxa"/>
          </w:tcPr>
          <w:p w:rsidR="00C5083C" w:rsidRPr="00DA393B" w:rsidRDefault="0018112C" w:rsidP="0018112C">
            <w:pPr>
              <w:spacing w:before="0"/>
            </w:pPr>
            <w:r w:rsidRPr="00DA393B">
              <w:rPr>
                <w:lang w:val="ca-ES"/>
              </w:rPr>
              <w:t>Corea del Sud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Dòlars neozelandesos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Nova Zelanda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18112C" w:rsidP="0018112C">
            <w:pPr>
              <w:spacing w:before="0"/>
            </w:pPr>
            <w:r w:rsidRPr="00DA393B">
              <w:rPr>
                <w:lang w:val="ca-ES"/>
              </w:rPr>
              <w:t>Iuan renminbi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Xina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Ruble rus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Rússia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Rupia índia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Índia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18112C" w:rsidP="0018112C">
            <w:pPr>
              <w:spacing w:before="0"/>
            </w:pPr>
            <w:r w:rsidRPr="00DA393B">
              <w:rPr>
                <w:lang w:val="ca-ES"/>
              </w:rPr>
              <w:t>Dòlars taiwanesos</w:t>
            </w:r>
          </w:p>
        </w:tc>
        <w:tc>
          <w:tcPr>
            <w:tcW w:w="668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Taiwan</w:t>
            </w:r>
          </w:p>
        </w:tc>
      </w:tr>
      <w:tr w:rsidR="00C5083C" w:rsidRPr="00DA393B" w:rsidTr="00DA393B">
        <w:trPr>
          <w:jc w:val="center"/>
        </w:trPr>
        <w:tc>
          <w:tcPr>
            <w:tcW w:w="234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Dòlars nord-americans</w:t>
            </w:r>
          </w:p>
        </w:tc>
        <w:tc>
          <w:tcPr>
            <w:tcW w:w="6688" w:type="dxa"/>
          </w:tcPr>
          <w:p w:rsidR="00C5083C" w:rsidRPr="00DA393B" w:rsidRDefault="0018112C" w:rsidP="0018112C">
            <w:pPr>
              <w:spacing w:before="0"/>
            </w:pPr>
            <w:r w:rsidRPr="00DA393B">
              <w:rPr>
                <w:lang w:val="ca-ES"/>
              </w:rPr>
              <w:t>Estats Units, Amèrica Llatina, Àsia Pacífic (</w:t>
            </w:r>
            <w:r w:rsidRPr="00DA393B">
              <w:rPr>
                <w:i/>
                <w:lang w:val="ca-ES"/>
              </w:rPr>
              <w:t>excepte Austràlia, Corea, Nova Zelanda</w:t>
            </w:r>
            <w:r w:rsidRPr="00DA393B">
              <w:rPr>
                <w:lang w:val="ca-ES"/>
              </w:rPr>
              <w:t>), Xina Continental (</w:t>
            </w:r>
            <w:r w:rsidRPr="00DA393B">
              <w:rPr>
                <w:i/>
                <w:lang w:val="ca-ES"/>
              </w:rPr>
              <w:t>excepte Xina i Taiwan</w:t>
            </w:r>
            <w:r w:rsidRPr="00DA393B">
              <w:rPr>
                <w:lang w:val="ca-ES"/>
              </w:rPr>
              <w:t>), Europa Central i Oriental (</w:t>
            </w:r>
            <w:r w:rsidRPr="00DA393B">
              <w:rPr>
                <w:i/>
                <w:lang w:val="ca-ES"/>
              </w:rPr>
              <w:t>excepte República Txeca, Grècia, Hongria, Polònia, Romania, Bulgària, Xipre, Malta, Estònia, Letònia, Lituània, Eslovàquia, Eslovènia, Croàcia</w:t>
            </w:r>
            <w:r w:rsidRPr="00DA393B">
              <w:rPr>
                <w:lang w:val="ca-ES"/>
              </w:rPr>
              <w:t>), Orient Mitjà i Àfrica.</w:t>
            </w:r>
          </w:p>
        </w:tc>
      </w:tr>
    </w:tbl>
    <w:p w:rsidR="00C5083C" w:rsidRPr="00DA393B" w:rsidRDefault="00D5088F" w:rsidP="00B37756">
      <w:pPr>
        <w:keepNext/>
        <w:spacing w:before="360" w:after="120"/>
        <w:rPr>
          <w:b/>
          <w:bCs/>
          <w:sz w:val="24"/>
          <w:szCs w:val="24"/>
        </w:rPr>
      </w:pPr>
      <w:r w:rsidRPr="00DA393B">
        <w:rPr>
          <w:b/>
          <w:sz w:val="24"/>
          <w:lang w:val="ca-ES"/>
        </w:rPr>
        <w:t>Taula de monedes per a les vendes indirectes a la UE i l’AELC:</w:t>
      </w:r>
      <w:r w:rsidR="00C5083C" w:rsidRPr="00DA393B">
        <w:rPr>
          <w:b/>
          <w:bCs/>
          <w:sz w:val="24"/>
          <w:szCs w:val="24"/>
        </w:rPr>
        <w:t xml:space="preserve"> </w:t>
      </w:r>
      <w:r w:rsidR="0018112C" w:rsidRPr="00DA393B">
        <w:rPr>
          <w:b/>
          <w:sz w:val="24"/>
          <w:lang w:val="ca-ES"/>
        </w:rPr>
        <w:t>Select i</w:t>
      </w:r>
      <w:r w:rsidR="00DA393B">
        <w:rPr>
          <w:b/>
          <w:sz w:val="24"/>
          <w:lang w:val="ca-ES"/>
        </w:rPr>
        <w:t> </w:t>
      </w:r>
      <w:r w:rsidR="0018112C" w:rsidRPr="00DA393B">
        <w:rPr>
          <w:b/>
          <w:sz w:val="24"/>
          <w:lang w:val="ca-ES"/>
        </w:rPr>
        <w:t>Academic Select, Select Plus i Academic Select Plus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C5083C" w:rsidRPr="00DA393B" w:rsidTr="00E110B8">
        <w:trPr>
          <w:jc w:val="center"/>
        </w:trPr>
        <w:tc>
          <w:tcPr>
            <w:tcW w:w="2161" w:type="dxa"/>
            <w:shd w:val="clear" w:color="auto" w:fill="000000"/>
          </w:tcPr>
          <w:p w:rsidR="00C5083C" w:rsidRPr="00DA393B" w:rsidRDefault="00B536F8" w:rsidP="00E110B8">
            <w:pPr>
              <w:spacing w:after="120"/>
              <w:rPr>
                <w:b/>
                <w:bCs/>
                <w:color w:val="FFFFFF"/>
              </w:rPr>
            </w:pPr>
            <w:r w:rsidRPr="00DA393B">
              <w:rPr>
                <w:b/>
                <w:color w:val="FFFFFF"/>
                <w:lang w:val="ca-ES"/>
              </w:rPr>
              <w:t>Moneda</w:t>
            </w:r>
          </w:p>
        </w:tc>
        <w:tc>
          <w:tcPr>
            <w:tcW w:w="6868" w:type="dxa"/>
            <w:shd w:val="clear" w:color="auto" w:fill="000000"/>
          </w:tcPr>
          <w:p w:rsidR="00C5083C" w:rsidRPr="00DA393B" w:rsidRDefault="0018112C" w:rsidP="0018112C">
            <w:pPr>
              <w:spacing w:after="120"/>
              <w:rPr>
                <w:b/>
                <w:bCs/>
                <w:color w:val="FFFFFF"/>
              </w:rPr>
            </w:pPr>
            <w:r w:rsidRPr="00DA393B">
              <w:rPr>
                <w:b/>
                <w:color w:val="FFFFFF"/>
                <w:lang w:val="ca-ES"/>
              </w:rPr>
              <w:t>Acceptada a països</w:t>
            </w:r>
          </w:p>
        </w:tc>
      </w:tr>
      <w:tr w:rsidR="00C5083C" w:rsidRPr="00DA393B" w:rsidTr="00E110B8">
        <w:trPr>
          <w:jc w:val="center"/>
        </w:trPr>
        <w:tc>
          <w:tcPr>
            <w:tcW w:w="2161" w:type="dxa"/>
          </w:tcPr>
          <w:p w:rsidR="00C5083C" w:rsidRPr="00DA393B" w:rsidRDefault="0018112C" w:rsidP="0018112C">
            <w:pPr>
              <w:spacing w:before="0"/>
            </w:pPr>
            <w:r w:rsidRPr="00DA393B">
              <w:rPr>
                <w:lang w:val="ca-ES"/>
              </w:rPr>
              <w:t>Euro, lliura esterlina, corona sueca, corona danesa, corona noruega, franc suís</w:t>
            </w:r>
          </w:p>
        </w:tc>
        <w:tc>
          <w:tcPr>
            <w:tcW w:w="6868" w:type="dxa"/>
          </w:tcPr>
          <w:p w:rsidR="00C5083C" w:rsidRPr="00DA393B" w:rsidRDefault="00D5088F" w:rsidP="00DA393B">
            <w:pPr>
              <w:spacing w:before="0"/>
            </w:pPr>
            <w:r w:rsidRPr="00DA393B">
              <w:rPr>
                <w:lang w:val="ca-ES"/>
              </w:rPr>
              <w:t xml:space="preserve">Bèlgica, Alemanya, Irlanda, Grècia, Espanya, França, Itàlia, Luxemburg, Països Baixos, Àustria, Portugal, Finlàndia, Bulgària, </w:t>
            </w:r>
            <w:r w:rsidR="004F66B5" w:rsidRPr="00DA393B">
              <w:rPr>
                <w:lang w:val="ca-ES"/>
              </w:rPr>
              <w:t>Xipre, República Txeca, Estònia</w:t>
            </w:r>
            <w:r w:rsidRPr="00DA393B">
              <w:rPr>
                <w:lang w:val="ca-ES"/>
              </w:rPr>
              <w:t>, Hongria, Letònia, Lituània, Malta, Polònia, Romania, Eslovàquia, Eslovènia, Croàcia, Regne Unit, Suïssa, Islàndia, Liechtenstein, Noruega, Suècia, Andorra, Mònaco, San Marino, Ciutat del Vaticà, Açores, illes Canàries, terres australs i antàrtiques franceses i</w:t>
            </w:r>
            <w:r w:rsidR="00DA393B" w:rsidRPr="00DA393B">
              <w:rPr>
                <w:lang w:val="ca-ES"/>
              </w:rPr>
              <w:t> </w:t>
            </w:r>
            <w:r w:rsidRPr="00DA393B">
              <w:rPr>
                <w:lang w:val="ca-ES"/>
              </w:rPr>
              <w:t>Madeira.</w:t>
            </w:r>
          </w:p>
        </w:tc>
      </w:tr>
    </w:tbl>
    <w:p w:rsidR="00C5083C" w:rsidRPr="00DA393B" w:rsidRDefault="00D5088F" w:rsidP="00B37756">
      <w:pPr>
        <w:keepNext/>
        <w:spacing w:before="360" w:after="120"/>
      </w:pPr>
      <w:r w:rsidRPr="00DA393B">
        <w:rPr>
          <w:b/>
          <w:sz w:val="24"/>
          <w:lang w:val="ca-ES"/>
        </w:rPr>
        <w:t>Taula de monedes per a les vendes directes al client final a la UE i l’AELC:</w:t>
      </w:r>
      <w:r w:rsidR="00C5083C" w:rsidRPr="00DA393B">
        <w:rPr>
          <w:b/>
          <w:bCs/>
          <w:sz w:val="24"/>
          <w:szCs w:val="24"/>
        </w:rPr>
        <w:t xml:space="preserve"> </w:t>
      </w:r>
      <w:r w:rsidRPr="00DA393B">
        <w:rPr>
          <w:b/>
          <w:sz w:val="24"/>
          <w:lang w:val="ca-ES"/>
        </w:rPr>
        <w:t>Enterprise (només directes) i Enterprise Subscription (només directes)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C5083C" w:rsidRPr="00DA393B" w:rsidTr="00E110B8">
        <w:trPr>
          <w:jc w:val="center"/>
        </w:trPr>
        <w:tc>
          <w:tcPr>
            <w:tcW w:w="2161" w:type="dxa"/>
            <w:shd w:val="clear" w:color="auto" w:fill="000000"/>
          </w:tcPr>
          <w:p w:rsidR="00C5083C" w:rsidRPr="00DA393B" w:rsidRDefault="00B536F8" w:rsidP="00E110B8">
            <w:pPr>
              <w:spacing w:after="120"/>
              <w:rPr>
                <w:b/>
                <w:bCs/>
                <w:color w:val="FFFFFF"/>
              </w:rPr>
            </w:pPr>
            <w:r w:rsidRPr="00DA393B">
              <w:rPr>
                <w:b/>
                <w:color w:val="FFFFFF"/>
                <w:lang w:val="ca-ES"/>
              </w:rPr>
              <w:t>Moneda</w:t>
            </w:r>
          </w:p>
        </w:tc>
        <w:tc>
          <w:tcPr>
            <w:tcW w:w="6868" w:type="dxa"/>
            <w:shd w:val="clear" w:color="auto" w:fill="000000"/>
          </w:tcPr>
          <w:p w:rsidR="00C5083C" w:rsidRPr="00DA393B" w:rsidRDefault="00D5088F" w:rsidP="00D5088F">
            <w:pPr>
              <w:spacing w:after="120"/>
              <w:rPr>
                <w:b/>
                <w:bCs/>
                <w:color w:val="FFFFFF"/>
              </w:rPr>
            </w:pPr>
            <w:r w:rsidRPr="00DA393B">
              <w:rPr>
                <w:b/>
                <w:color w:val="FFFFFF"/>
                <w:lang w:val="ca-ES"/>
              </w:rPr>
              <w:t>Acceptada a països</w:t>
            </w:r>
          </w:p>
        </w:tc>
      </w:tr>
      <w:tr w:rsidR="00C5083C" w:rsidRPr="00DA393B" w:rsidTr="00E110B8">
        <w:trPr>
          <w:jc w:val="center"/>
        </w:trPr>
        <w:tc>
          <w:tcPr>
            <w:tcW w:w="216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Corona danesa</w:t>
            </w:r>
          </w:p>
        </w:tc>
        <w:tc>
          <w:tcPr>
            <w:tcW w:w="686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Dinamarca</w:t>
            </w:r>
          </w:p>
        </w:tc>
      </w:tr>
      <w:tr w:rsidR="00C5083C" w:rsidRPr="00DA393B" w:rsidTr="00E110B8">
        <w:trPr>
          <w:jc w:val="center"/>
        </w:trPr>
        <w:tc>
          <w:tcPr>
            <w:tcW w:w="216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Euro</w:t>
            </w:r>
          </w:p>
        </w:tc>
        <w:tc>
          <w:tcPr>
            <w:tcW w:w="6868" w:type="dxa"/>
          </w:tcPr>
          <w:p w:rsidR="00C5083C" w:rsidRPr="00DA393B" w:rsidRDefault="00D5088F" w:rsidP="00D5088F">
            <w:pPr>
              <w:spacing w:before="0"/>
            </w:pPr>
            <w:r w:rsidRPr="00DA393B">
              <w:rPr>
                <w:lang w:val="ca-ES"/>
              </w:rPr>
              <w:t>Països de la zona euro a Europa Occidental</w:t>
            </w:r>
          </w:p>
        </w:tc>
      </w:tr>
      <w:tr w:rsidR="00C5083C" w:rsidRPr="00DA393B" w:rsidTr="00E110B8">
        <w:trPr>
          <w:jc w:val="center"/>
        </w:trPr>
        <w:tc>
          <w:tcPr>
            <w:tcW w:w="216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Corona noruega</w:t>
            </w:r>
          </w:p>
        </w:tc>
        <w:tc>
          <w:tcPr>
            <w:tcW w:w="686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Noruega</w:t>
            </w:r>
          </w:p>
        </w:tc>
      </w:tr>
      <w:tr w:rsidR="00C5083C" w:rsidRPr="00DA393B" w:rsidTr="00E110B8">
        <w:trPr>
          <w:jc w:val="center"/>
        </w:trPr>
        <w:tc>
          <w:tcPr>
            <w:tcW w:w="216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Lliura esterlina</w:t>
            </w:r>
          </w:p>
        </w:tc>
        <w:tc>
          <w:tcPr>
            <w:tcW w:w="686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Regne Unit</w:t>
            </w:r>
          </w:p>
        </w:tc>
      </w:tr>
      <w:tr w:rsidR="00C5083C" w:rsidRPr="00DA393B" w:rsidTr="00E110B8">
        <w:trPr>
          <w:jc w:val="center"/>
        </w:trPr>
        <w:tc>
          <w:tcPr>
            <w:tcW w:w="216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Corona sueca</w:t>
            </w:r>
          </w:p>
        </w:tc>
        <w:tc>
          <w:tcPr>
            <w:tcW w:w="686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Suècia</w:t>
            </w:r>
          </w:p>
        </w:tc>
      </w:tr>
      <w:tr w:rsidR="00C5083C" w:rsidRPr="00DA393B" w:rsidTr="00E110B8">
        <w:trPr>
          <w:jc w:val="center"/>
        </w:trPr>
        <w:tc>
          <w:tcPr>
            <w:tcW w:w="216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Franc suís</w:t>
            </w:r>
          </w:p>
        </w:tc>
        <w:tc>
          <w:tcPr>
            <w:tcW w:w="6868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Suïssa</w:t>
            </w:r>
          </w:p>
        </w:tc>
      </w:tr>
    </w:tbl>
    <w:p w:rsidR="00C5083C" w:rsidRPr="00DA393B" w:rsidRDefault="00D5088F" w:rsidP="00B37756">
      <w:pPr>
        <w:keepNext/>
        <w:keepLines/>
        <w:spacing w:before="360" w:after="120"/>
        <w:rPr>
          <w:b/>
          <w:bCs/>
          <w:sz w:val="24"/>
          <w:szCs w:val="24"/>
        </w:rPr>
      </w:pPr>
      <w:r w:rsidRPr="00DA393B">
        <w:rPr>
          <w:b/>
          <w:sz w:val="24"/>
          <w:lang w:val="ca-ES"/>
        </w:rPr>
        <w:lastRenderedPageBreak/>
        <w:t>Taula de monedes per a les vendes indirectes a la UE i l’AELC:</w:t>
      </w:r>
      <w:r w:rsidR="00C5083C" w:rsidRPr="00DA393B">
        <w:rPr>
          <w:b/>
          <w:bCs/>
          <w:sz w:val="24"/>
          <w:szCs w:val="24"/>
        </w:rPr>
        <w:t xml:space="preserve"> </w:t>
      </w:r>
      <w:r w:rsidRPr="00DA393B">
        <w:rPr>
          <w:b/>
          <w:sz w:val="24"/>
          <w:lang w:val="ca-ES"/>
        </w:rPr>
        <w:t>Enterprise (només indirectes) i Enterprise Subscription (només indirectes)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C5083C" w:rsidRPr="00DA393B" w:rsidTr="00E110B8">
        <w:trPr>
          <w:jc w:val="center"/>
        </w:trPr>
        <w:tc>
          <w:tcPr>
            <w:tcW w:w="2161" w:type="dxa"/>
            <w:shd w:val="clear" w:color="auto" w:fill="000000"/>
          </w:tcPr>
          <w:p w:rsidR="00C5083C" w:rsidRPr="00DA393B" w:rsidRDefault="00B536F8" w:rsidP="00E110B8">
            <w:pPr>
              <w:keepNext/>
              <w:spacing w:after="120"/>
              <w:rPr>
                <w:b/>
                <w:bCs/>
                <w:color w:val="FFFFFF"/>
              </w:rPr>
            </w:pPr>
            <w:r w:rsidRPr="00DA393B">
              <w:rPr>
                <w:b/>
                <w:color w:val="FFFFFF"/>
                <w:lang w:val="ca-ES"/>
              </w:rPr>
              <w:t>Moneda</w:t>
            </w:r>
          </w:p>
        </w:tc>
        <w:tc>
          <w:tcPr>
            <w:tcW w:w="6868" w:type="dxa"/>
            <w:shd w:val="clear" w:color="auto" w:fill="000000"/>
          </w:tcPr>
          <w:p w:rsidR="00C5083C" w:rsidRPr="00DA393B" w:rsidRDefault="00D5088F" w:rsidP="00D5088F">
            <w:pPr>
              <w:spacing w:after="120"/>
              <w:rPr>
                <w:b/>
                <w:bCs/>
                <w:color w:val="FFFFFF"/>
              </w:rPr>
            </w:pPr>
            <w:r w:rsidRPr="00DA393B">
              <w:rPr>
                <w:b/>
                <w:color w:val="FFFFFF"/>
                <w:lang w:val="ca-ES"/>
              </w:rPr>
              <w:t>Acceptada a països</w:t>
            </w:r>
          </w:p>
        </w:tc>
      </w:tr>
      <w:tr w:rsidR="00C5083C" w:rsidRPr="00DA393B" w:rsidTr="00E110B8">
        <w:trPr>
          <w:jc w:val="center"/>
        </w:trPr>
        <w:tc>
          <w:tcPr>
            <w:tcW w:w="2161" w:type="dxa"/>
          </w:tcPr>
          <w:p w:rsidR="00C5083C" w:rsidRPr="00DA393B" w:rsidRDefault="00B536F8" w:rsidP="00E110B8">
            <w:pPr>
              <w:spacing w:before="0"/>
            </w:pPr>
            <w:r w:rsidRPr="00DA393B">
              <w:rPr>
                <w:lang w:val="ca-ES"/>
              </w:rPr>
              <w:t>Euro</w:t>
            </w:r>
          </w:p>
        </w:tc>
        <w:tc>
          <w:tcPr>
            <w:tcW w:w="6868" w:type="dxa"/>
          </w:tcPr>
          <w:p w:rsidR="00C5083C" w:rsidRPr="00DA393B" w:rsidRDefault="00D5088F" w:rsidP="00D5088F">
            <w:pPr>
              <w:spacing w:before="0"/>
            </w:pPr>
            <w:r w:rsidRPr="00DA393B">
              <w:rPr>
                <w:lang w:val="ca-ES"/>
              </w:rPr>
              <w:t>Europa Central i Oriental (només a Bulgària, Xipre, República Txeca, Estònia, Hongria, Letònia, Lituània, Malta, Polònia, Romania, Eslovàquia, Eslovènia, Croàcia)</w:t>
            </w:r>
          </w:p>
        </w:tc>
      </w:tr>
    </w:tbl>
    <w:p w:rsidR="00C5083C" w:rsidRPr="00DA393B" w:rsidRDefault="00C5083C" w:rsidP="00502F9F"/>
    <w:sectPr w:rsidR="00C5083C" w:rsidRPr="00DA393B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3A5" w:rsidRDefault="00BE43A5" w:rsidP="00F47A3B">
      <w:pPr>
        <w:spacing w:before="0"/>
      </w:pPr>
      <w:r>
        <w:separator/>
      </w:r>
    </w:p>
  </w:endnote>
  <w:endnote w:type="continuationSeparator" w:id="0">
    <w:p w:rsidR="00BE43A5" w:rsidRDefault="00BE43A5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662" w:rsidRDefault="007A566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7A5662" w:rsidRPr="007A5662" w:rsidTr="00DD2DBC">
      <w:trPr>
        <w:jc w:val="center"/>
      </w:trPr>
      <w:tc>
        <w:tcPr>
          <w:tcW w:w="4621" w:type="dxa"/>
          <w:shd w:val="clear" w:color="auto" w:fill="auto"/>
        </w:tcPr>
        <w:p w:rsidR="007A5662" w:rsidRPr="007A5662" w:rsidRDefault="007A5662" w:rsidP="007A5662">
          <w:pPr>
            <w:pStyle w:val="Footer"/>
            <w:rPr>
              <w:sz w:val="16"/>
              <w:szCs w:val="16"/>
            </w:rPr>
          </w:pPr>
          <w:r w:rsidRPr="007A5662">
            <w:rPr>
              <w:sz w:val="16"/>
              <w:szCs w:val="16"/>
            </w:rPr>
            <w:t>ProgramCurrencyTable(WW)(CAT)(May2014)</w:t>
          </w:r>
        </w:p>
      </w:tc>
      <w:tc>
        <w:tcPr>
          <w:tcW w:w="4622" w:type="dxa"/>
          <w:shd w:val="clear" w:color="auto" w:fill="auto"/>
        </w:tcPr>
        <w:p w:rsidR="007A5662" w:rsidRPr="007A5662" w:rsidRDefault="007A5662" w:rsidP="007A5662">
          <w:pPr>
            <w:spacing w:before="0"/>
            <w:jc w:val="right"/>
            <w:rPr>
              <w:sz w:val="16"/>
              <w:szCs w:val="16"/>
            </w:rPr>
          </w:pPr>
          <w:r w:rsidRPr="007A5662">
            <w:rPr>
              <w:sz w:val="16"/>
              <w:szCs w:val="16"/>
            </w:rPr>
            <w:t xml:space="preserve">Page </w:t>
          </w:r>
          <w:r w:rsidRPr="007A5662">
            <w:rPr>
              <w:sz w:val="16"/>
              <w:szCs w:val="16"/>
            </w:rPr>
            <w:fldChar w:fldCharType="begin"/>
          </w:r>
          <w:r w:rsidRPr="007A5662">
            <w:rPr>
              <w:sz w:val="16"/>
              <w:szCs w:val="16"/>
            </w:rPr>
            <w:instrText xml:space="preserve"> PAGE  \* MERGEFORMAT </w:instrText>
          </w:r>
          <w:r w:rsidRPr="007A5662">
            <w:rPr>
              <w:sz w:val="16"/>
              <w:szCs w:val="16"/>
            </w:rPr>
            <w:fldChar w:fldCharType="separate"/>
          </w:r>
          <w:r w:rsidR="00E3676F">
            <w:rPr>
              <w:noProof/>
              <w:sz w:val="16"/>
              <w:szCs w:val="16"/>
            </w:rPr>
            <w:t>2</w:t>
          </w:r>
          <w:r w:rsidRPr="007A5662">
            <w:rPr>
              <w:sz w:val="16"/>
              <w:szCs w:val="16"/>
            </w:rPr>
            <w:fldChar w:fldCharType="end"/>
          </w:r>
          <w:r w:rsidRPr="007A5662">
            <w:rPr>
              <w:sz w:val="16"/>
              <w:szCs w:val="16"/>
            </w:rPr>
            <w:t xml:space="preserve"> of </w:t>
          </w:r>
          <w:r w:rsidRPr="007A5662">
            <w:rPr>
              <w:sz w:val="16"/>
              <w:szCs w:val="16"/>
            </w:rPr>
            <w:fldChar w:fldCharType="begin"/>
          </w:r>
          <w:r w:rsidRPr="007A5662">
            <w:rPr>
              <w:sz w:val="16"/>
              <w:szCs w:val="16"/>
            </w:rPr>
            <w:instrText xml:space="preserve"> NUMPAGES  \* MERGEFORMAT </w:instrText>
          </w:r>
          <w:r w:rsidRPr="007A5662">
            <w:rPr>
              <w:sz w:val="16"/>
              <w:szCs w:val="16"/>
            </w:rPr>
            <w:fldChar w:fldCharType="separate"/>
          </w:r>
          <w:r w:rsidR="00E3676F">
            <w:rPr>
              <w:noProof/>
              <w:sz w:val="16"/>
              <w:szCs w:val="16"/>
            </w:rPr>
            <w:t>2</w:t>
          </w:r>
          <w:r w:rsidRPr="007A5662">
            <w:rPr>
              <w:sz w:val="16"/>
              <w:szCs w:val="16"/>
            </w:rPr>
            <w:fldChar w:fldCharType="end"/>
          </w:r>
        </w:p>
        <w:p w:rsidR="007A5662" w:rsidRPr="007A5662" w:rsidRDefault="007A5662" w:rsidP="007A5662">
          <w:pPr>
            <w:spacing w:before="0"/>
            <w:jc w:val="right"/>
            <w:rPr>
              <w:sz w:val="16"/>
              <w:szCs w:val="16"/>
            </w:rPr>
          </w:pPr>
        </w:p>
      </w:tc>
    </w:tr>
  </w:tbl>
  <w:p w:rsidR="007A5662" w:rsidRPr="007A5662" w:rsidRDefault="007A5662" w:rsidP="007A5662">
    <w:pPr>
      <w:pStyle w:val="Footer"/>
      <w:rPr>
        <w:sz w:val="16"/>
      </w:rPr>
    </w:pPr>
  </w:p>
  <w:p w:rsidR="0079752E" w:rsidRPr="007A5662" w:rsidRDefault="0079752E" w:rsidP="007A566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662" w:rsidRDefault="007A566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3A5" w:rsidRDefault="00BE43A5" w:rsidP="00F47A3B">
      <w:pPr>
        <w:spacing w:before="0"/>
      </w:pPr>
      <w:r>
        <w:separator/>
      </w:r>
    </w:p>
  </w:footnote>
  <w:footnote w:type="continuationSeparator" w:id="0">
    <w:p w:rsidR="00BE43A5" w:rsidRDefault="00BE43A5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83C" w:rsidRDefault="00E3676F">
    <w:pPr>
      <w:pStyle w:val="Header"/>
    </w:pPr>
    <w:r>
      <w:rPr>
        <w:noProof/>
        <w:lang w:val="es-ES_tradnl" w:eastAsia="es-ES_trad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7728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52E" w:rsidRDefault="00E3676F" w:rsidP="0079752E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5" type="#_x0000_t75" style="position:absolute;left:0;text-align:left;margin-left:0;margin-top:0;width:451.2pt;height:254.35pt;z-index:-25165465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79752E">
      <w:rPr>
        <w:noProof/>
        <w:lang w:eastAsia="en-US"/>
      </w:rPr>
      <w:drawing>
        <wp:anchor distT="0" distB="0" distL="114300" distR="114300" simplePos="0" relativeHeight="251662848" behindDoc="0" locked="0" layoutInCell="1" allowOverlap="1" wp14:anchorId="02BA9E55" wp14:editId="4C58CDF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752E">
      <w:rPr>
        <w:noProof/>
        <w:lang w:eastAsia="en-US"/>
      </w:rPr>
      <w:drawing>
        <wp:anchor distT="0" distB="0" distL="114300" distR="114300" simplePos="0" relativeHeight="251660800" behindDoc="0" locked="0" layoutInCell="1" allowOverlap="1" wp14:anchorId="05E24139" wp14:editId="53ECCC9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752E">
      <w:rPr>
        <w:noProof/>
        <w:lang w:eastAsia="en-US"/>
      </w:rPr>
      <w:drawing>
        <wp:inline distT="0" distB="0" distL="0" distR="0" wp14:anchorId="3E70E4F7" wp14:editId="0C0CAF1A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83C" w:rsidRDefault="00E3676F">
    <w:pPr>
      <w:pStyle w:val="Header"/>
    </w:pPr>
    <w:r>
      <w:rPr>
        <w:noProof/>
        <w:lang w:val="es-ES_tradnl" w:eastAsia="es-ES_trad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02F5C"/>
    <w:rsid w:val="000D5A0F"/>
    <w:rsid w:val="000F3C88"/>
    <w:rsid w:val="00104C01"/>
    <w:rsid w:val="00127935"/>
    <w:rsid w:val="001732AA"/>
    <w:rsid w:val="00173A65"/>
    <w:rsid w:val="0018112C"/>
    <w:rsid w:val="001A2430"/>
    <w:rsid w:val="001A2999"/>
    <w:rsid w:val="001F4FDD"/>
    <w:rsid w:val="00212C3C"/>
    <w:rsid w:val="00230A15"/>
    <w:rsid w:val="00236B5D"/>
    <w:rsid w:val="00265BCD"/>
    <w:rsid w:val="002753B2"/>
    <w:rsid w:val="00276746"/>
    <w:rsid w:val="00277868"/>
    <w:rsid w:val="00295738"/>
    <w:rsid w:val="002E7E95"/>
    <w:rsid w:val="00300845"/>
    <w:rsid w:val="00303BB9"/>
    <w:rsid w:val="00353BDB"/>
    <w:rsid w:val="00367ACC"/>
    <w:rsid w:val="003A347B"/>
    <w:rsid w:val="003C5353"/>
    <w:rsid w:val="003D4F3C"/>
    <w:rsid w:val="003F0EA6"/>
    <w:rsid w:val="0041614F"/>
    <w:rsid w:val="00424178"/>
    <w:rsid w:val="00436AF5"/>
    <w:rsid w:val="00443661"/>
    <w:rsid w:val="004E637D"/>
    <w:rsid w:val="004F66B5"/>
    <w:rsid w:val="00501F3E"/>
    <w:rsid w:val="00502F9F"/>
    <w:rsid w:val="00563540"/>
    <w:rsid w:val="00566380"/>
    <w:rsid w:val="0057356E"/>
    <w:rsid w:val="00575132"/>
    <w:rsid w:val="005B6BDE"/>
    <w:rsid w:val="005E341C"/>
    <w:rsid w:val="00601731"/>
    <w:rsid w:val="006024A3"/>
    <w:rsid w:val="006103CC"/>
    <w:rsid w:val="00620BAB"/>
    <w:rsid w:val="00640BBF"/>
    <w:rsid w:val="00696909"/>
    <w:rsid w:val="00696913"/>
    <w:rsid w:val="00727A8B"/>
    <w:rsid w:val="0074795E"/>
    <w:rsid w:val="00780C11"/>
    <w:rsid w:val="00782E5A"/>
    <w:rsid w:val="0079752E"/>
    <w:rsid w:val="007A5662"/>
    <w:rsid w:val="007A6138"/>
    <w:rsid w:val="007B09D7"/>
    <w:rsid w:val="007C4EF8"/>
    <w:rsid w:val="008039EF"/>
    <w:rsid w:val="00840479"/>
    <w:rsid w:val="00862FE3"/>
    <w:rsid w:val="008757D1"/>
    <w:rsid w:val="008A5BE0"/>
    <w:rsid w:val="00907F35"/>
    <w:rsid w:val="00940CC9"/>
    <w:rsid w:val="009715AB"/>
    <w:rsid w:val="009921AA"/>
    <w:rsid w:val="009A56E5"/>
    <w:rsid w:val="00A76CC3"/>
    <w:rsid w:val="00AA6638"/>
    <w:rsid w:val="00B17A66"/>
    <w:rsid w:val="00B3458D"/>
    <w:rsid w:val="00B37756"/>
    <w:rsid w:val="00B37D2A"/>
    <w:rsid w:val="00B40DDE"/>
    <w:rsid w:val="00B536F8"/>
    <w:rsid w:val="00B73B4F"/>
    <w:rsid w:val="00B8430A"/>
    <w:rsid w:val="00BA48B1"/>
    <w:rsid w:val="00BC75C9"/>
    <w:rsid w:val="00BE43A5"/>
    <w:rsid w:val="00C175E3"/>
    <w:rsid w:val="00C5083C"/>
    <w:rsid w:val="00C52436"/>
    <w:rsid w:val="00C75EA8"/>
    <w:rsid w:val="00C926B9"/>
    <w:rsid w:val="00CA2399"/>
    <w:rsid w:val="00CA2405"/>
    <w:rsid w:val="00CB68DC"/>
    <w:rsid w:val="00CC7492"/>
    <w:rsid w:val="00CE7C35"/>
    <w:rsid w:val="00D22001"/>
    <w:rsid w:val="00D241EC"/>
    <w:rsid w:val="00D31D4E"/>
    <w:rsid w:val="00D5088F"/>
    <w:rsid w:val="00D55BF9"/>
    <w:rsid w:val="00D652FD"/>
    <w:rsid w:val="00DA393B"/>
    <w:rsid w:val="00DE38F4"/>
    <w:rsid w:val="00E110B8"/>
    <w:rsid w:val="00E2612D"/>
    <w:rsid w:val="00E3676F"/>
    <w:rsid w:val="00E6625A"/>
    <w:rsid w:val="00E8472D"/>
    <w:rsid w:val="00F15936"/>
    <w:rsid w:val="00F30882"/>
    <w:rsid w:val="00F40121"/>
    <w:rsid w:val="00F46710"/>
    <w:rsid w:val="00F47A3B"/>
    <w:rsid w:val="00F52B50"/>
    <w:rsid w:val="00FB674C"/>
    <w:rsid w:val="00FD25C1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6"/>
    <o:shapelayout v:ext="edit">
      <o:idmap v:ext="edit" data="1"/>
    </o:shapelayout>
  </w:shapeDefaults>
  <w:decimalSymbol w:val="."/>
  <w:listSeparator w:val=","/>
  <w14:defaultImageDpi w14:val="96"/>
  <w15:docId w15:val="{5D186851-F787-49AB-8EF6-B1DB009C5C8E}"/>
  <w:documentProtection w:edit="forms" w:enforcement="true" w:cryptProviderType="rsaFull" w:cryptAlgorithmClass="hash" w:cryptAlgorithmType="typeAny" w:cryptAlgorithmSid="4" w:cryptSpinCount="50000" w:hash="Td2urxp2cK6BBRNS1EDBec127sI=" w:salt="U43vAlREIllczaqWgXnjI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pPr>
      <w:spacing w:before="120"/>
      <w:jc w:val="both"/>
    </w:pPr>
    <w:rPr>
      <w:rFonts w:cs="Arial"/>
      <w:color w:val="00000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175E3"/>
    <w:rPr>
      <w:color w:val="0000FF"/>
      <w:u w:val="single" w:color="0000FF"/>
    </w:rPr>
  </w:style>
  <w:style w:type="paragraph" w:styleId="Header">
    <w:name w:val="header"/>
    <w:basedOn w:val="Normal"/>
    <w:link w:val="HeaderChar"/>
    <w:uiPriority w:val="99"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</w:style>
  <w:style w:type="paragraph" w:styleId="Footer">
    <w:name w:val="footer"/>
    <w:basedOn w:val="Normal"/>
    <w:link w:val="FooterChar"/>
    <w:uiPriority w:val="99"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</w:style>
  <w:style w:type="table" w:styleId="TableGrid">
    <w:name w:val="Table Grid"/>
    <w:basedOn w:val="TableNormal"/>
    <w:uiPriority w:val="99"/>
    <w:rsid w:val="00F47A3B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/>
      <w:sz w:val="16"/>
    </w:rPr>
  </w:style>
  <w:style w:type="paragraph" w:styleId="Revision">
    <w:name w:val="Revision"/>
    <w:hidden/>
    <w:uiPriority w:val="99"/>
    <w:semiHidden/>
    <w:rsid w:val="00D241EC"/>
    <w:rPr>
      <w:rFonts w:cs="Arial"/>
      <w:color w:val="000000"/>
      <w:lang w:val="en-US" w:eastAsia="zh-CN"/>
    </w:rPr>
  </w:style>
  <w:style w:type="character" w:customStyle="1" w:styleId="LogoportDoNotTranslate">
    <w:name w:val="LogoportDoNotTranslate"/>
    <w:uiPriority w:val="99"/>
    <w:rsid w:val="00F30882"/>
    <w:rPr>
      <w:rFonts w:ascii="Courier New" w:hAnsi="Courier New"/>
      <w:color w:val="808080"/>
      <w:sz w:val="36"/>
    </w:rPr>
  </w:style>
  <w:style w:type="character" w:customStyle="1" w:styleId="LogoportMarkup">
    <w:name w:val="LogoportMarkup"/>
    <w:uiPriority w:val="99"/>
    <w:rsid w:val="00F30882"/>
    <w:rPr>
      <w:rFonts w:ascii="Courier New" w:hAnsi="Courier New"/>
      <w:color w:val="FF000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788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80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Enterprise y Enterprise Subscription </vt:lpstr>
    </vt:vector>
  </TitlesOfParts>
  <Company>Microsoft</Company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Enterprise y Enterprise Subscription</dc:title>
  <dc:creator>Microsoft</dc:creator>
  <cp:lastModifiedBy>Alexandra Myles (Inviso)</cp:lastModifiedBy>
  <cp:revision>22</cp:revision>
  <cp:lastPrinted>2014-05-21T17:26:00Z</cp:lastPrinted>
  <dcterms:created xsi:type="dcterms:W3CDTF">2014-05-21T11:29:00Z</dcterms:created>
  <dcterms:modified xsi:type="dcterms:W3CDTF">2014-06-19T22:05:00Z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