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E0283F" w:rsidRDefault="009C0EBC" w:rsidP="00276746">
      <w:pPr>
        <w:spacing w:before="240"/>
        <w:jc w:val="left"/>
        <w:rPr>
          <w:sz w:val="36"/>
          <w:szCs w:val="36"/>
        </w:rPr>
        <w:sectPr w:rsidR="002E7E95" w:rsidRPr="00E0283F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E0283F">
        <w:rPr>
          <w:color w:val="000000"/>
          <w:sz w:val="36"/>
          <w:lang w:val="hu-HU"/>
        </w:rPr>
        <w:t>Enterprise és Enterprise Subscription</w:t>
      </w:r>
    </w:p>
    <w:p w:rsidR="00F47A3B" w:rsidRPr="00E0283F" w:rsidRDefault="009C0EBC" w:rsidP="00276746">
      <w:pPr>
        <w:spacing w:before="0"/>
        <w:rPr>
          <w:sz w:val="36"/>
          <w:szCs w:val="36"/>
        </w:rPr>
      </w:pPr>
      <w:r w:rsidRPr="00E0283F">
        <w:rPr>
          <w:color w:val="000000"/>
          <w:sz w:val="36"/>
          <w:lang w:val="hu-HU"/>
        </w:rPr>
        <w:lastRenderedPageBreak/>
        <w:t>Select és Academic Select</w:t>
      </w:r>
    </w:p>
    <w:p w:rsidR="00F47A3B" w:rsidRPr="00E0283F" w:rsidRDefault="009C0EBC" w:rsidP="00276746">
      <w:pPr>
        <w:spacing w:before="0" w:after="240"/>
        <w:rPr>
          <w:sz w:val="36"/>
          <w:szCs w:val="36"/>
        </w:rPr>
      </w:pPr>
      <w:r w:rsidRPr="00E0283F">
        <w:rPr>
          <w:color w:val="000000"/>
          <w:sz w:val="36"/>
          <w:lang w:val="hu-HU"/>
        </w:rPr>
        <w:t>Select Plus és Academic Select Plus</w:t>
      </w:r>
    </w:p>
    <w:p w:rsidR="00F47A3B" w:rsidRPr="00E0283F" w:rsidRDefault="009C0EBC" w:rsidP="00F47A3B">
      <w:pPr>
        <w:keepNext/>
        <w:spacing w:before="360" w:after="120"/>
        <w:rPr>
          <w:b/>
          <w:bCs/>
          <w:sz w:val="24"/>
          <w:szCs w:val="24"/>
        </w:rPr>
      </w:pPr>
      <w:r w:rsidRPr="00E0283F">
        <w:rPr>
          <w:b/>
          <w:color w:val="000000"/>
          <w:sz w:val="24"/>
          <w:lang w:val="hu-HU"/>
        </w:rPr>
        <w:t>Pénznemtáblázat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E0283F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Pénznem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Elfogadás helye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Ausztrál dollár</w:t>
            </w:r>
          </w:p>
        </w:tc>
        <w:tc>
          <w:tcPr>
            <w:tcW w:w="6868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Ausztrália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9C0EBC" w:rsidP="009C0EBC">
            <w:r w:rsidRPr="00E0283F">
              <w:rPr>
                <w:rFonts w:ascii="Segoe Pro" w:hAnsi="Segoe Pro"/>
                <w:color w:val="000000"/>
                <w:lang w:val="hu-HU"/>
              </w:rPr>
              <w:t>Kanadai dollár</w:t>
            </w:r>
          </w:p>
        </w:tc>
        <w:tc>
          <w:tcPr>
            <w:tcW w:w="6868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Kanada</w:t>
            </w:r>
          </w:p>
        </w:tc>
      </w:tr>
      <w:tr w:rsidR="00502F9F" w:rsidRPr="00E0283F" w:rsidTr="00D31D4E">
        <w:trPr>
          <w:jc w:val="center"/>
        </w:trPr>
        <w:tc>
          <w:tcPr>
            <w:tcW w:w="2161" w:type="dxa"/>
          </w:tcPr>
          <w:p w:rsidR="00502F9F" w:rsidRPr="00E0283F" w:rsidRDefault="009C0EBC" w:rsidP="009C0EBC">
            <w:r w:rsidRPr="00E0283F">
              <w:rPr>
                <w:color w:val="000000"/>
                <w:lang w:val="hu-HU"/>
              </w:rPr>
              <w:t>Indiai rúpia</w:t>
            </w:r>
          </w:p>
        </w:tc>
        <w:tc>
          <w:tcPr>
            <w:tcW w:w="6868" w:type="dxa"/>
          </w:tcPr>
          <w:p w:rsidR="00502F9F" w:rsidRPr="00E0283F" w:rsidRDefault="009C0EBC" w:rsidP="009C0EBC">
            <w:r w:rsidRPr="00E0283F">
              <w:rPr>
                <w:color w:val="000000"/>
                <w:lang w:val="hu-HU"/>
              </w:rPr>
              <w:t>India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Japán jen</w:t>
            </w:r>
          </w:p>
        </w:tc>
        <w:tc>
          <w:tcPr>
            <w:tcW w:w="6868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Japán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Koreai won</w:t>
            </w:r>
          </w:p>
        </w:tc>
        <w:tc>
          <w:tcPr>
            <w:tcW w:w="6868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Dél-Korea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Új-zélandi dollár</w:t>
            </w:r>
          </w:p>
        </w:tc>
        <w:tc>
          <w:tcPr>
            <w:tcW w:w="6868" w:type="dxa"/>
          </w:tcPr>
          <w:p w:rsidR="00F47A3B" w:rsidRPr="00E0283F" w:rsidRDefault="009C0EBC" w:rsidP="009C0EBC">
            <w:r w:rsidRPr="00E0283F">
              <w:rPr>
                <w:color w:val="000000"/>
                <w:lang w:val="hu-HU"/>
              </w:rPr>
              <w:t>Új-Zéland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885DEE" w:rsidP="009C0EBC">
            <w:r w:rsidRPr="00E0283F">
              <w:rPr>
                <w:color w:val="000000"/>
                <w:lang w:val="hu-HU"/>
              </w:rPr>
              <w:t>Renminbi jüan</w:t>
            </w:r>
          </w:p>
        </w:tc>
        <w:tc>
          <w:tcPr>
            <w:tcW w:w="6868" w:type="dxa"/>
          </w:tcPr>
          <w:p w:rsidR="00F47A3B" w:rsidRPr="00E0283F" w:rsidRDefault="00885DEE" w:rsidP="00885DEE">
            <w:r w:rsidRPr="00E0283F">
              <w:rPr>
                <w:color w:val="000000"/>
                <w:lang w:val="hu-HU"/>
              </w:rPr>
              <w:t>Kína</w:t>
            </w:r>
          </w:p>
        </w:tc>
      </w:tr>
      <w:tr w:rsidR="00502F9F" w:rsidRPr="00E0283F" w:rsidTr="00D31D4E">
        <w:trPr>
          <w:jc w:val="center"/>
        </w:trPr>
        <w:tc>
          <w:tcPr>
            <w:tcW w:w="2161" w:type="dxa"/>
          </w:tcPr>
          <w:p w:rsidR="00502F9F" w:rsidRPr="00E0283F" w:rsidRDefault="00885DEE" w:rsidP="00885DEE">
            <w:r w:rsidRPr="00E0283F">
              <w:rPr>
                <w:color w:val="000000"/>
                <w:lang w:val="hu-HU"/>
              </w:rPr>
              <w:t>Orosz rubel</w:t>
            </w:r>
          </w:p>
        </w:tc>
        <w:tc>
          <w:tcPr>
            <w:tcW w:w="6868" w:type="dxa"/>
          </w:tcPr>
          <w:p w:rsidR="00502F9F" w:rsidRPr="00E0283F" w:rsidRDefault="00885DEE" w:rsidP="00885DEE">
            <w:r w:rsidRPr="00E0283F">
              <w:rPr>
                <w:color w:val="000000"/>
                <w:lang w:val="hu-HU"/>
              </w:rPr>
              <w:t>Oroszország</w:t>
            </w:r>
          </w:p>
        </w:tc>
      </w:tr>
      <w:tr w:rsidR="00885DEE" w:rsidRPr="00E0283F" w:rsidTr="00D31D4E">
        <w:trPr>
          <w:jc w:val="center"/>
        </w:trPr>
        <w:tc>
          <w:tcPr>
            <w:tcW w:w="2161" w:type="dxa"/>
          </w:tcPr>
          <w:p w:rsidR="00885DEE" w:rsidRPr="00E0283F" w:rsidRDefault="00885DEE" w:rsidP="00885DEE">
            <w:r w:rsidRPr="00E0283F">
              <w:rPr>
                <w:color w:val="000000"/>
                <w:lang w:val="hu-HU"/>
              </w:rPr>
              <w:t>Indiai rúpia</w:t>
            </w:r>
          </w:p>
        </w:tc>
        <w:tc>
          <w:tcPr>
            <w:tcW w:w="6868" w:type="dxa"/>
          </w:tcPr>
          <w:p w:rsidR="00885DEE" w:rsidRPr="00E0283F" w:rsidRDefault="00885DEE" w:rsidP="00885DEE">
            <w:r w:rsidRPr="00E0283F">
              <w:rPr>
                <w:color w:val="000000"/>
                <w:lang w:val="hu-HU"/>
              </w:rPr>
              <w:t>India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885DEE" w:rsidP="00885DEE">
            <w:r w:rsidRPr="00E0283F">
              <w:rPr>
                <w:color w:val="000000"/>
                <w:lang w:val="hu-HU"/>
              </w:rPr>
              <w:t>Tajvani dollár</w:t>
            </w:r>
          </w:p>
        </w:tc>
        <w:tc>
          <w:tcPr>
            <w:tcW w:w="6868" w:type="dxa"/>
          </w:tcPr>
          <w:p w:rsidR="00F47A3B" w:rsidRPr="00E0283F" w:rsidRDefault="00885DEE" w:rsidP="00885DEE">
            <w:r w:rsidRPr="00E0283F">
              <w:rPr>
                <w:color w:val="000000"/>
                <w:lang w:val="hu-HU"/>
              </w:rPr>
              <w:t>Tajvan</w:t>
            </w:r>
          </w:p>
        </w:tc>
      </w:tr>
      <w:tr w:rsidR="00F47A3B" w:rsidRPr="00E0283F" w:rsidTr="00D31D4E">
        <w:trPr>
          <w:jc w:val="center"/>
        </w:trPr>
        <w:tc>
          <w:tcPr>
            <w:tcW w:w="2161" w:type="dxa"/>
          </w:tcPr>
          <w:p w:rsidR="00F47A3B" w:rsidRPr="00E0283F" w:rsidRDefault="00885DEE" w:rsidP="00885DEE">
            <w:r w:rsidRPr="00E0283F">
              <w:rPr>
                <w:color w:val="000000"/>
                <w:lang w:val="hu-HU"/>
              </w:rPr>
              <w:t>USA dollár</w:t>
            </w:r>
          </w:p>
        </w:tc>
        <w:tc>
          <w:tcPr>
            <w:tcW w:w="6868" w:type="dxa"/>
          </w:tcPr>
          <w:p w:rsidR="00F47A3B" w:rsidRPr="00E0283F" w:rsidRDefault="00885DEE" w:rsidP="00885DEE">
            <w:r w:rsidRPr="00E0283F">
              <w:rPr>
                <w:color w:val="000000"/>
                <w:lang w:val="hu-HU"/>
              </w:rPr>
              <w:t xml:space="preserve">Egyesült Államok, Latin-Amerika, Ázsia és Csendes-óceáni térség </w:t>
            </w:r>
            <w:r w:rsidRPr="00E0283F">
              <w:rPr>
                <w:i/>
                <w:color w:val="000000"/>
                <w:lang w:val="hu-HU"/>
              </w:rPr>
              <w:t>(kivéve Ausztrália, Korea, Új-Zéland)</w:t>
            </w:r>
            <w:r w:rsidRPr="00E0283F">
              <w:rPr>
                <w:color w:val="000000"/>
                <w:lang w:val="hu-HU"/>
              </w:rPr>
              <w:t xml:space="preserve">, Nagy-Kína </w:t>
            </w:r>
            <w:r w:rsidRPr="00E0283F">
              <w:rPr>
                <w:i/>
                <w:color w:val="000000"/>
                <w:lang w:val="hu-HU"/>
              </w:rPr>
              <w:t>(kivéve Kína és Tajvan)</w:t>
            </w:r>
            <w:r w:rsidRPr="00E0283F">
              <w:rPr>
                <w:color w:val="000000"/>
                <w:lang w:val="hu-HU"/>
              </w:rPr>
              <w:t xml:space="preserve">, Közép- és Kelet-Európa </w:t>
            </w:r>
            <w:r w:rsidRPr="00E0283F">
              <w:rPr>
                <w:i/>
                <w:color w:val="000000"/>
                <w:lang w:val="hu-HU"/>
              </w:rPr>
              <w:t>(kivéve Csehország, Görögország, Magyarország, Lengyelország, Románia, Bulgária, Ciprus, Málta, Észtország, Lettország, Litvánia, Szlovákia, Szlovénia és Horvátország)</w:t>
            </w:r>
            <w:r w:rsidRPr="00E0283F">
              <w:rPr>
                <w:color w:val="000000"/>
                <w:lang w:val="hu-HU"/>
              </w:rPr>
              <w:t>, Közel-Kelet és Afrika</w:t>
            </w:r>
          </w:p>
        </w:tc>
      </w:tr>
    </w:tbl>
    <w:p w:rsidR="00BA48B1" w:rsidRPr="00E0283F" w:rsidRDefault="00885DEE" w:rsidP="00D72C37">
      <w:pPr>
        <w:keepNext/>
        <w:spacing w:before="360" w:after="120"/>
        <w:rPr>
          <w:b/>
          <w:bCs/>
          <w:sz w:val="24"/>
          <w:szCs w:val="24"/>
        </w:rPr>
      </w:pPr>
      <w:r w:rsidRPr="00E0283F">
        <w:rPr>
          <w:b/>
          <w:color w:val="000000"/>
          <w:sz w:val="24"/>
          <w:lang w:val="hu-HU"/>
        </w:rPr>
        <w:t>Pénznemtáblázat EU-beli/EFTA-beli közvetett értékesítés esetén:</w:t>
      </w:r>
      <w:r w:rsidR="00BA48B1" w:rsidRPr="00E0283F">
        <w:rPr>
          <w:b/>
          <w:bCs/>
          <w:sz w:val="24"/>
          <w:szCs w:val="24"/>
        </w:rPr>
        <w:t xml:space="preserve"> </w:t>
      </w:r>
      <w:r w:rsidRPr="00E0283F">
        <w:rPr>
          <w:b/>
          <w:color w:val="000000"/>
          <w:sz w:val="24"/>
          <w:lang w:val="hu-HU"/>
        </w:rPr>
        <w:t>Select és Academic Select, Select Plus és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9C0EBC" w:rsidRPr="00E0283F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9C0EBC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Pénznem</w:t>
            </w:r>
          </w:p>
        </w:tc>
        <w:tc>
          <w:tcPr>
            <w:tcW w:w="6868" w:type="dxa"/>
            <w:shd w:val="clear" w:color="auto" w:fill="000000" w:themeFill="text1"/>
          </w:tcPr>
          <w:p w:rsidR="009C0EBC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Elfogadás helye</w:t>
            </w:r>
          </w:p>
        </w:tc>
      </w:tr>
      <w:tr w:rsidR="00BA48B1" w:rsidRPr="00E0283F" w:rsidTr="007B550A">
        <w:trPr>
          <w:jc w:val="center"/>
        </w:trPr>
        <w:tc>
          <w:tcPr>
            <w:tcW w:w="2161" w:type="dxa"/>
          </w:tcPr>
          <w:p w:rsidR="00BA48B1" w:rsidRPr="00E0283F" w:rsidRDefault="00997755" w:rsidP="00997755">
            <w:r w:rsidRPr="00E0283F">
              <w:rPr>
                <w:color w:val="000000"/>
                <w:lang w:val="hu-HU"/>
              </w:rPr>
              <w:t>Euró, angol font, svéd korona, dán korona, norvég korona, svájci frank</w:t>
            </w:r>
          </w:p>
        </w:tc>
        <w:tc>
          <w:tcPr>
            <w:tcW w:w="6868" w:type="dxa"/>
          </w:tcPr>
          <w:p w:rsidR="00BA48B1" w:rsidRPr="00E0283F" w:rsidRDefault="00155CDC" w:rsidP="00997755">
            <w:r w:rsidRPr="00E0283F">
              <w:rPr>
                <w:color w:val="000000"/>
                <w:lang w:val="hu-HU"/>
              </w:rPr>
              <w:t>Belgium, Németország, Írország, Görögország, Spanyolország, Franciaország, Olaszország, Luxemburg, Hollandia, Ausztria, Portugália, Finnország, Bulgária, Ciprus, Csehország, Észtország, Magyarország, Lettország, Litvánia, Málta, Lengyelország, Románia, Szlovákia, Szlovénia, Horvátország, Egyesült Királyság, Svájc, Izland, Liechtenstein, Norvégia, Svédország, Andorra, Monaco, San Marino, Vatikán, Azori-szigetek, Kanári-szigetek, Francia Déli és Antarktiszi Területek, Madeira</w:t>
            </w:r>
          </w:p>
        </w:tc>
      </w:tr>
    </w:tbl>
    <w:p w:rsidR="00D241EC" w:rsidRPr="00E0283F" w:rsidRDefault="00997755" w:rsidP="00D72C37">
      <w:pPr>
        <w:keepNext/>
        <w:spacing w:before="360" w:after="120"/>
      </w:pPr>
      <w:r w:rsidRPr="00E0283F">
        <w:rPr>
          <w:b/>
          <w:color w:val="000000"/>
          <w:sz w:val="24"/>
          <w:lang w:val="hu-HU"/>
        </w:rPr>
        <w:t>Pénznemtáblázat EU-beli/EFTA-beli közvetlenül a végfelhasználó ügyfélnek történő értékesítés esetén:</w:t>
      </w:r>
      <w:r w:rsidR="00D241EC" w:rsidRPr="00E0283F">
        <w:rPr>
          <w:b/>
          <w:bCs/>
          <w:sz w:val="24"/>
          <w:szCs w:val="24"/>
        </w:rPr>
        <w:t xml:space="preserve"> </w:t>
      </w:r>
      <w:r w:rsidRPr="00E0283F">
        <w:rPr>
          <w:b/>
          <w:color w:val="000000"/>
          <w:sz w:val="24"/>
          <w:lang w:val="hu-HU"/>
        </w:rPr>
        <w:t>Enterprise (csak közvetlen) és Enterprise Subscription (csak közvetlen)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9C0EBC" w:rsidRPr="00E0283F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9C0EBC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Pénznem</w:t>
            </w:r>
          </w:p>
        </w:tc>
        <w:tc>
          <w:tcPr>
            <w:tcW w:w="6868" w:type="dxa"/>
            <w:shd w:val="clear" w:color="auto" w:fill="000000" w:themeFill="text1"/>
          </w:tcPr>
          <w:p w:rsidR="009C0EBC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Elfogadás helye</w:t>
            </w:r>
          </w:p>
        </w:tc>
      </w:tr>
      <w:tr w:rsidR="00D241EC" w:rsidRPr="00E0283F" w:rsidTr="000217E6">
        <w:trPr>
          <w:jc w:val="center"/>
        </w:trPr>
        <w:tc>
          <w:tcPr>
            <w:tcW w:w="2161" w:type="dxa"/>
          </w:tcPr>
          <w:p w:rsidR="00D241EC" w:rsidRPr="00E0283F" w:rsidRDefault="00463CF2" w:rsidP="00463CF2">
            <w:r w:rsidRPr="00E0283F">
              <w:rPr>
                <w:color w:val="000000"/>
                <w:lang w:val="hu-HU"/>
              </w:rPr>
              <w:t>Dán korona</w:t>
            </w:r>
          </w:p>
        </w:tc>
        <w:tc>
          <w:tcPr>
            <w:tcW w:w="6868" w:type="dxa"/>
          </w:tcPr>
          <w:p w:rsidR="00D241EC" w:rsidRPr="00E0283F" w:rsidRDefault="00463CF2" w:rsidP="00463CF2">
            <w:r w:rsidRPr="00E0283F">
              <w:rPr>
                <w:color w:val="000000"/>
                <w:lang w:val="hu-HU"/>
              </w:rPr>
              <w:t>Dánia</w:t>
            </w:r>
          </w:p>
        </w:tc>
      </w:tr>
      <w:tr w:rsidR="00D241EC" w:rsidRPr="00E0283F" w:rsidTr="000217E6">
        <w:trPr>
          <w:jc w:val="center"/>
        </w:trPr>
        <w:tc>
          <w:tcPr>
            <w:tcW w:w="2161" w:type="dxa"/>
          </w:tcPr>
          <w:p w:rsidR="00D241EC" w:rsidRPr="00E0283F" w:rsidRDefault="00463CF2" w:rsidP="00463CF2">
            <w:r w:rsidRPr="00E0283F">
              <w:rPr>
                <w:color w:val="000000"/>
                <w:lang w:val="hu-HU"/>
              </w:rPr>
              <w:t>Euró</w:t>
            </w:r>
          </w:p>
        </w:tc>
        <w:tc>
          <w:tcPr>
            <w:tcW w:w="6868" w:type="dxa"/>
          </w:tcPr>
          <w:p w:rsidR="00D241EC" w:rsidRPr="00E0283F" w:rsidRDefault="00B536EB" w:rsidP="00463CF2">
            <w:r w:rsidRPr="00E0283F">
              <w:rPr>
                <w:color w:val="000000"/>
                <w:lang w:val="hu-HU"/>
              </w:rPr>
              <w:t>Az euró-zóna országai Nyugat-Európában</w:t>
            </w:r>
          </w:p>
        </w:tc>
      </w:tr>
      <w:tr w:rsidR="00D241EC" w:rsidRPr="00E0283F" w:rsidTr="000217E6">
        <w:trPr>
          <w:jc w:val="center"/>
        </w:trPr>
        <w:tc>
          <w:tcPr>
            <w:tcW w:w="2161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Norvég korona</w:t>
            </w:r>
          </w:p>
        </w:tc>
        <w:tc>
          <w:tcPr>
            <w:tcW w:w="6868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Norvégia</w:t>
            </w:r>
          </w:p>
        </w:tc>
      </w:tr>
      <w:tr w:rsidR="00D241EC" w:rsidRPr="00E0283F" w:rsidTr="000217E6">
        <w:trPr>
          <w:jc w:val="center"/>
        </w:trPr>
        <w:tc>
          <w:tcPr>
            <w:tcW w:w="2161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Angol font</w:t>
            </w:r>
          </w:p>
        </w:tc>
        <w:tc>
          <w:tcPr>
            <w:tcW w:w="6868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Egyesült Királyság</w:t>
            </w:r>
          </w:p>
        </w:tc>
      </w:tr>
      <w:tr w:rsidR="00D241EC" w:rsidRPr="00E0283F" w:rsidTr="000217E6">
        <w:trPr>
          <w:jc w:val="center"/>
        </w:trPr>
        <w:tc>
          <w:tcPr>
            <w:tcW w:w="2161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Svéd korona</w:t>
            </w:r>
          </w:p>
        </w:tc>
        <w:tc>
          <w:tcPr>
            <w:tcW w:w="6868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Svédország</w:t>
            </w:r>
          </w:p>
        </w:tc>
      </w:tr>
      <w:tr w:rsidR="00D241EC" w:rsidRPr="00E0283F" w:rsidTr="000217E6">
        <w:trPr>
          <w:jc w:val="center"/>
        </w:trPr>
        <w:tc>
          <w:tcPr>
            <w:tcW w:w="2161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Svájci frank</w:t>
            </w:r>
          </w:p>
        </w:tc>
        <w:tc>
          <w:tcPr>
            <w:tcW w:w="6868" w:type="dxa"/>
          </w:tcPr>
          <w:p w:rsidR="00D241EC" w:rsidRPr="00E0283F" w:rsidRDefault="00B536EB" w:rsidP="00B536EB">
            <w:r w:rsidRPr="00E0283F">
              <w:rPr>
                <w:color w:val="000000"/>
                <w:lang w:val="hu-HU"/>
              </w:rPr>
              <w:t>Svájc</w:t>
            </w:r>
          </w:p>
        </w:tc>
      </w:tr>
    </w:tbl>
    <w:p w:rsidR="00566380" w:rsidRPr="00E0283F" w:rsidRDefault="00997755" w:rsidP="00D72C37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E0283F">
        <w:rPr>
          <w:b/>
          <w:color w:val="000000"/>
          <w:sz w:val="24"/>
          <w:lang w:val="hu-HU"/>
        </w:rPr>
        <w:lastRenderedPageBreak/>
        <w:t>Pénznemtáblázat EU-beli/EFTA-beli közvetett értékesítés esetén:</w:t>
      </w:r>
      <w:r w:rsidR="00566380" w:rsidRPr="00E0283F">
        <w:rPr>
          <w:b/>
          <w:bCs/>
          <w:sz w:val="24"/>
          <w:szCs w:val="24"/>
        </w:rPr>
        <w:t xml:space="preserve"> </w:t>
      </w:r>
      <w:r w:rsidRPr="00E0283F">
        <w:rPr>
          <w:b/>
          <w:color w:val="000000"/>
          <w:sz w:val="24"/>
          <w:lang w:val="hu-HU"/>
        </w:rPr>
        <w:t>Enterprise (csak közvetett) és Enterprise Subscription (csak közvetett)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9C0EBC" w:rsidRPr="00E0283F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9C0EBC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Pénznem</w:t>
            </w:r>
          </w:p>
        </w:tc>
        <w:tc>
          <w:tcPr>
            <w:tcW w:w="6868" w:type="dxa"/>
            <w:shd w:val="clear" w:color="auto" w:fill="000000" w:themeFill="text1"/>
          </w:tcPr>
          <w:p w:rsidR="009C0EBC" w:rsidRPr="00E0283F" w:rsidRDefault="009C0EBC" w:rsidP="009C0EB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E0283F">
              <w:rPr>
                <w:b/>
                <w:color w:val="FFFFFF"/>
                <w:lang w:val="hu-HU"/>
              </w:rPr>
              <w:t>Elfogadás helye</w:t>
            </w:r>
          </w:p>
        </w:tc>
      </w:tr>
      <w:tr w:rsidR="00566380" w:rsidRPr="00E0283F" w:rsidTr="000217E6">
        <w:trPr>
          <w:jc w:val="center"/>
        </w:trPr>
        <w:tc>
          <w:tcPr>
            <w:tcW w:w="2161" w:type="dxa"/>
          </w:tcPr>
          <w:p w:rsidR="00566380" w:rsidRPr="00E0283F" w:rsidRDefault="00997755" w:rsidP="00997755">
            <w:r w:rsidRPr="00E0283F">
              <w:rPr>
                <w:color w:val="000000"/>
                <w:lang w:val="hu-HU"/>
              </w:rPr>
              <w:t>Euró</w:t>
            </w:r>
          </w:p>
        </w:tc>
        <w:tc>
          <w:tcPr>
            <w:tcW w:w="6868" w:type="dxa"/>
          </w:tcPr>
          <w:p w:rsidR="00566380" w:rsidRPr="00E0283F" w:rsidRDefault="00997755" w:rsidP="00997755">
            <w:r w:rsidRPr="00E0283F">
              <w:rPr>
                <w:color w:val="000000"/>
                <w:lang w:val="hu-HU"/>
              </w:rPr>
              <w:t>Közép- és Kelet-Európa (csak a következő országokban: Bulgária, Ciprus, Csehország, Észtország, Magyarország, Lettország, Litvánia, Málta, Lengyelország, Románia, Szlovákia, Szlovénia, Horvátország)</w:t>
            </w:r>
          </w:p>
        </w:tc>
      </w:tr>
    </w:tbl>
    <w:p w:rsidR="00D241EC" w:rsidRPr="00E0283F" w:rsidRDefault="00D241EC" w:rsidP="00502F9F"/>
    <w:sectPr w:rsidR="00D241EC" w:rsidRPr="00E0283F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080" w:rsidRDefault="006D7080" w:rsidP="00F47A3B">
      <w:pPr>
        <w:spacing w:before="0"/>
      </w:pPr>
      <w:r>
        <w:separator/>
      </w:r>
    </w:p>
  </w:endnote>
  <w:endnote w:type="continuationSeparator" w:id="0">
    <w:p w:rsidR="006D7080" w:rsidRDefault="006D7080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Pro">
    <w:altName w:val="Segoe UI"/>
    <w:charset w:val="00"/>
    <w:family w:val="swiss"/>
    <w:pitch w:val="variable"/>
    <w:sig w:usb0="A00002AF" w:usb1="4000205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6AA" w:rsidRDefault="000916A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0916AA" w:rsidRPr="000916AA" w:rsidTr="000D67BE">
      <w:trPr>
        <w:jc w:val="center"/>
      </w:trPr>
      <w:tc>
        <w:tcPr>
          <w:tcW w:w="4621" w:type="dxa"/>
          <w:shd w:val="clear" w:color="auto" w:fill="auto"/>
        </w:tcPr>
        <w:p w:rsidR="000916AA" w:rsidRPr="000916AA" w:rsidRDefault="000916AA" w:rsidP="000916AA">
          <w:pPr>
            <w:pStyle w:val="Footer"/>
            <w:rPr>
              <w:sz w:val="16"/>
              <w:szCs w:val="16"/>
            </w:rPr>
          </w:pPr>
          <w:r w:rsidRPr="000916AA">
            <w:rPr>
              <w:sz w:val="16"/>
              <w:szCs w:val="16"/>
            </w:rPr>
            <w:t>ProgramCurrencyTable(WW)(HUN)(May2014)</w:t>
          </w:r>
        </w:p>
      </w:tc>
      <w:tc>
        <w:tcPr>
          <w:tcW w:w="4622" w:type="dxa"/>
          <w:shd w:val="clear" w:color="auto" w:fill="auto"/>
        </w:tcPr>
        <w:p w:rsidR="000916AA" w:rsidRPr="000916AA" w:rsidRDefault="000916AA" w:rsidP="000916AA">
          <w:pPr>
            <w:jc w:val="right"/>
            <w:rPr>
              <w:sz w:val="16"/>
              <w:szCs w:val="16"/>
            </w:rPr>
          </w:pPr>
          <w:r w:rsidRPr="000916AA">
            <w:rPr>
              <w:sz w:val="16"/>
              <w:szCs w:val="16"/>
            </w:rPr>
            <w:t xml:space="preserve">Page </w:t>
          </w:r>
          <w:r w:rsidRPr="000916AA">
            <w:rPr>
              <w:sz w:val="16"/>
              <w:szCs w:val="16"/>
            </w:rPr>
            <w:fldChar w:fldCharType="begin"/>
          </w:r>
          <w:r w:rsidRPr="000916AA">
            <w:rPr>
              <w:sz w:val="16"/>
              <w:szCs w:val="16"/>
            </w:rPr>
            <w:instrText xml:space="preserve"> PAGE  \* MERGEFORMAT </w:instrText>
          </w:r>
          <w:r w:rsidRPr="000916AA">
            <w:rPr>
              <w:sz w:val="16"/>
              <w:szCs w:val="16"/>
            </w:rPr>
            <w:fldChar w:fldCharType="separate"/>
          </w:r>
          <w:r w:rsidR="00997D5F">
            <w:rPr>
              <w:noProof/>
              <w:sz w:val="16"/>
              <w:szCs w:val="16"/>
            </w:rPr>
            <w:t>2</w:t>
          </w:r>
          <w:r w:rsidRPr="000916AA">
            <w:rPr>
              <w:sz w:val="16"/>
              <w:szCs w:val="16"/>
            </w:rPr>
            <w:fldChar w:fldCharType="end"/>
          </w:r>
          <w:r w:rsidRPr="000916AA">
            <w:rPr>
              <w:sz w:val="16"/>
              <w:szCs w:val="16"/>
            </w:rPr>
            <w:t xml:space="preserve"> of </w:t>
          </w:r>
          <w:r w:rsidRPr="000916AA">
            <w:rPr>
              <w:sz w:val="16"/>
              <w:szCs w:val="16"/>
            </w:rPr>
            <w:fldChar w:fldCharType="begin"/>
          </w:r>
          <w:r w:rsidRPr="000916AA">
            <w:rPr>
              <w:sz w:val="16"/>
              <w:szCs w:val="16"/>
            </w:rPr>
            <w:instrText xml:space="preserve"> NUMPAGES  \* MERGEFORMAT </w:instrText>
          </w:r>
          <w:r w:rsidRPr="000916AA">
            <w:rPr>
              <w:sz w:val="16"/>
              <w:szCs w:val="16"/>
            </w:rPr>
            <w:fldChar w:fldCharType="separate"/>
          </w:r>
          <w:r w:rsidR="00997D5F">
            <w:rPr>
              <w:noProof/>
              <w:sz w:val="16"/>
              <w:szCs w:val="16"/>
            </w:rPr>
            <w:t>2</w:t>
          </w:r>
          <w:r w:rsidRPr="000916AA">
            <w:rPr>
              <w:sz w:val="16"/>
              <w:szCs w:val="16"/>
            </w:rPr>
            <w:fldChar w:fldCharType="end"/>
          </w:r>
        </w:p>
        <w:p w:rsidR="000916AA" w:rsidRPr="000916AA" w:rsidRDefault="000916AA" w:rsidP="000916AA">
          <w:pPr>
            <w:jc w:val="right"/>
            <w:rPr>
              <w:sz w:val="16"/>
              <w:szCs w:val="16"/>
            </w:rPr>
          </w:pPr>
        </w:p>
      </w:tc>
    </w:tr>
  </w:tbl>
  <w:p w:rsidR="000916AA" w:rsidRPr="000916AA" w:rsidRDefault="000916AA" w:rsidP="000916AA">
    <w:pPr>
      <w:pStyle w:val="Footer"/>
      <w:rPr>
        <w:sz w:val="16"/>
      </w:rPr>
    </w:pPr>
  </w:p>
  <w:p w:rsidR="003A5493" w:rsidRPr="000916AA" w:rsidRDefault="003A5493" w:rsidP="000916A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6AA" w:rsidRDefault="000916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080" w:rsidRDefault="006D7080" w:rsidP="00F47A3B">
      <w:pPr>
        <w:spacing w:before="0"/>
      </w:pPr>
      <w:r>
        <w:separator/>
      </w:r>
    </w:p>
  </w:footnote>
  <w:footnote w:type="continuationSeparator" w:id="0">
    <w:p w:rsidR="006D7080" w:rsidRDefault="006D7080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997D5F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C37" w:rsidRDefault="00997D5F" w:rsidP="00D72C37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5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>
      <w:rPr>
        <w:noProof/>
      </w:rPr>
      <w:pict>
        <v:shape id="WordPictureWatermark1" o:spid="_x0000_s2056" type="#_x0000_t75" style="position:absolute;left:0;text-align:left;margin-left:0;margin-top:0;width:446.25pt;height:252pt;z-index:251661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>
      <w:rPr>
        <w:noProof/>
      </w:rPr>
      <w:pict>
        <v:shape id="WordPictureWatermark2" o:spid="_x0000_s2054" type="#_x0000_t75" style="position:absolute;left:0;text-align:left;margin-left:0;margin-top:0;width:446.25pt;height:252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 w:rsidR="00D72C37">
      <w:rPr>
        <w:noProof/>
        <w:lang w:eastAsia="en-US"/>
      </w:rPr>
      <w:drawing>
        <wp:inline distT="0" distB="0" distL="0" distR="0" wp14:anchorId="0817217C" wp14:editId="7A6C5362">
          <wp:extent cx="5734050" cy="561975"/>
          <wp:effectExtent l="0" t="0" r="0" b="9525"/>
          <wp:docPr id="4" name="Picture 4" descr="Description: 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997D5F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04297"/>
    <w:rsid w:val="000217E6"/>
    <w:rsid w:val="000916AA"/>
    <w:rsid w:val="000F3C88"/>
    <w:rsid w:val="00127935"/>
    <w:rsid w:val="00155CDC"/>
    <w:rsid w:val="001732AA"/>
    <w:rsid w:val="00173A65"/>
    <w:rsid w:val="001A2430"/>
    <w:rsid w:val="00230A15"/>
    <w:rsid w:val="00236B5D"/>
    <w:rsid w:val="00265BCD"/>
    <w:rsid w:val="00276746"/>
    <w:rsid w:val="00295738"/>
    <w:rsid w:val="002E7E95"/>
    <w:rsid w:val="00303BB9"/>
    <w:rsid w:val="00353BDB"/>
    <w:rsid w:val="00367ACC"/>
    <w:rsid w:val="003A347B"/>
    <w:rsid w:val="003A5493"/>
    <w:rsid w:val="003C5353"/>
    <w:rsid w:val="003D4F3C"/>
    <w:rsid w:val="003F0EA6"/>
    <w:rsid w:val="0041614F"/>
    <w:rsid w:val="00424178"/>
    <w:rsid w:val="00443661"/>
    <w:rsid w:val="00463CF2"/>
    <w:rsid w:val="00501F3E"/>
    <w:rsid w:val="00502F9F"/>
    <w:rsid w:val="00566380"/>
    <w:rsid w:val="0057356E"/>
    <w:rsid w:val="00575132"/>
    <w:rsid w:val="005B6BDE"/>
    <w:rsid w:val="00601731"/>
    <w:rsid w:val="006024A3"/>
    <w:rsid w:val="00620BAB"/>
    <w:rsid w:val="00640BBF"/>
    <w:rsid w:val="00666C7C"/>
    <w:rsid w:val="00696909"/>
    <w:rsid w:val="00696913"/>
    <w:rsid w:val="006D7080"/>
    <w:rsid w:val="0074795E"/>
    <w:rsid w:val="00780C11"/>
    <w:rsid w:val="00782E5A"/>
    <w:rsid w:val="007B550A"/>
    <w:rsid w:val="007C4EF8"/>
    <w:rsid w:val="00840479"/>
    <w:rsid w:val="00862FE3"/>
    <w:rsid w:val="008757D1"/>
    <w:rsid w:val="00885DEE"/>
    <w:rsid w:val="008968C1"/>
    <w:rsid w:val="008A5BE0"/>
    <w:rsid w:val="009078E6"/>
    <w:rsid w:val="00940CC9"/>
    <w:rsid w:val="009715AB"/>
    <w:rsid w:val="009921AA"/>
    <w:rsid w:val="00997755"/>
    <w:rsid w:val="00997D5F"/>
    <w:rsid w:val="009C0EBC"/>
    <w:rsid w:val="00A76CC3"/>
    <w:rsid w:val="00AB2CDE"/>
    <w:rsid w:val="00AD06AD"/>
    <w:rsid w:val="00B17A66"/>
    <w:rsid w:val="00B40DDE"/>
    <w:rsid w:val="00B536EB"/>
    <w:rsid w:val="00B8430A"/>
    <w:rsid w:val="00B95682"/>
    <w:rsid w:val="00BA48B1"/>
    <w:rsid w:val="00C175E3"/>
    <w:rsid w:val="00C926B9"/>
    <w:rsid w:val="00CA2405"/>
    <w:rsid w:val="00CC7492"/>
    <w:rsid w:val="00CE7C35"/>
    <w:rsid w:val="00D22001"/>
    <w:rsid w:val="00D241EC"/>
    <w:rsid w:val="00D30CB1"/>
    <w:rsid w:val="00D31D4E"/>
    <w:rsid w:val="00D55BF9"/>
    <w:rsid w:val="00D72C37"/>
    <w:rsid w:val="00DB134A"/>
    <w:rsid w:val="00DB221C"/>
    <w:rsid w:val="00DE38F4"/>
    <w:rsid w:val="00E0283F"/>
    <w:rsid w:val="00E8472D"/>
    <w:rsid w:val="00EC781F"/>
    <w:rsid w:val="00ED3489"/>
    <w:rsid w:val="00EF78E3"/>
    <w:rsid w:val="00F15936"/>
    <w:rsid w:val="00F30882"/>
    <w:rsid w:val="00F46710"/>
    <w:rsid w:val="00F47A3B"/>
    <w:rsid w:val="00F52B50"/>
    <w:rsid w:val="00FA3BD2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7"/>
    <o:shapelayout v:ext="edit">
      <o:idmap v:ext="edit" data="1"/>
    </o:shapelayout>
  </w:shapeDefaults>
  <w:decimalSymbol w:val="."/>
  <w:listSeparator w:val=","/>
  <w14:defaultImageDpi w14:val="96"/>
  <w15:docId w15:val="{D60F6162-BBC5-4485-A82B-26BDD5C50333}"/>
  <w:documentProtection w:edit="forms" w:enforcement="true" w:cryptProviderType="rsaFull" w:cryptAlgorithmClass="hash" w:cryptAlgorithmType="typeAny" w:cryptAlgorithmSid="4" w:cryptSpinCount="50000" w:hash="SJxmC9a6QulG0BGHAICd9rZKDRc=" w:salt="kr1Ukp6gawxWAZN/mrM5w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29</cp:revision>
  <cp:lastPrinted>2014-05-17T02:32:00Z</cp:lastPrinted>
  <dcterms:created xsi:type="dcterms:W3CDTF">2014-05-16T10:31:00Z</dcterms:created>
  <dcterms:modified xsi:type="dcterms:W3CDTF">2014-06-19T22:03:00Z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