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271993" w:rsidRDefault="00F47A3B" w:rsidP="00276746">
      <w:pPr>
        <w:spacing w:before="240"/>
        <w:jc w:val="left"/>
        <w:rPr>
          <w:sz w:val="36"/>
          <w:szCs w:val="36"/>
          <w:lang w:val="sk-SK"/>
        </w:rPr>
        <w:sectPr w:rsidR="002E7E95" w:rsidRPr="00271993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271993">
        <w:rPr>
          <w:sz w:val="36"/>
          <w:szCs w:val="36"/>
          <w:lang w:val="sk-SK"/>
        </w:rPr>
        <w:t>Enterprise a Enterprise Subscription</w:t>
      </w:r>
    </w:p>
    <w:p w:rsidR="00F47A3B" w:rsidRPr="00271993" w:rsidRDefault="00F47A3B" w:rsidP="00276746">
      <w:pPr>
        <w:spacing w:before="0"/>
        <w:rPr>
          <w:sz w:val="36"/>
          <w:szCs w:val="36"/>
          <w:lang w:val="sk-SK"/>
        </w:rPr>
      </w:pPr>
      <w:r w:rsidRPr="00271993">
        <w:rPr>
          <w:sz w:val="36"/>
          <w:szCs w:val="36"/>
          <w:lang w:val="sk-SK"/>
        </w:rPr>
        <w:lastRenderedPageBreak/>
        <w:t>Select a Academic Select</w:t>
      </w:r>
    </w:p>
    <w:p w:rsidR="00F47A3B" w:rsidRPr="00271993" w:rsidRDefault="00F47A3B" w:rsidP="00276746">
      <w:pPr>
        <w:spacing w:before="0" w:after="240"/>
        <w:rPr>
          <w:sz w:val="36"/>
          <w:szCs w:val="36"/>
          <w:lang w:val="sk-SK"/>
        </w:rPr>
      </w:pPr>
      <w:r w:rsidRPr="00271993">
        <w:rPr>
          <w:sz w:val="36"/>
          <w:szCs w:val="36"/>
          <w:lang w:val="sk-SK"/>
        </w:rPr>
        <w:t>Select Plus a Academic Select Plus</w:t>
      </w:r>
    </w:p>
    <w:p w:rsidR="00F47A3B" w:rsidRPr="00271993" w:rsidRDefault="00F47A3B" w:rsidP="00F47A3B">
      <w:pPr>
        <w:keepNext/>
        <w:spacing w:before="360" w:after="120"/>
        <w:rPr>
          <w:b/>
          <w:bCs/>
          <w:sz w:val="24"/>
          <w:szCs w:val="24"/>
          <w:lang w:val="sk-SK"/>
        </w:rPr>
      </w:pPr>
      <w:r w:rsidRPr="00271993">
        <w:rPr>
          <w:b/>
          <w:bCs/>
          <w:sz w:val="24"/>
          <w:szCs w:val="24"/>
          <w:lang w:val="sk-SK"/>
        </w:rPr>
        <w:t>Menová tabuľka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271993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271993" w:rsidRDefault="00F47A3B" w:rsidP="00F47A3B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Mena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271993" w:rsidRDefault="00F47A3B" w:rsidP="00F47A3B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Akceptovaná v oblastiach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Austrálsky dolár</w:t>
            </w:r>
          </w:p>
        </w:tc>
        <w:tc>
          <w:tcPr>
            <w:tcW w:w="6868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Austrália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Kanadský dolár</w:t>
            </w:r>
          </w:p>
        </w:tc>
        <w:tc>
          <w:tcPr>
            <w:tcW w:w="6868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Kanada</w:t>
            </w:r>
          </w:p>
        </w:tc>
      </w:tr>
      <w:tr w:rsidR="00502F9F" w:rsidRPr="00271993" w:rsidTr="00D31D4E">
        <w:trPr>
          <w:jc w:val="center"/>
        </w:trPr>
        <w:tc>
          <w:tcPr>
            <w:tcW w:w="2161" w:type="dxa"/>
          </w:tcPr>
          <w:p w:rsidR="00502F9F" w:rsidRPr="00271993" w:rsidRDefault="00502F9F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Indická rupia</w:t>
            </w:r>
          </w:p>
        </w:tc>
        <w:tc>
          <w:tcPr>
            <w:tcW w:w="6868" w:type="dxa"/>
          </w:tcPr>
          <w:p w:rsidR="00502F9F" w:rsidRPr="00271993" w:rsidRDefault="00502F9F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India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Japonský jen</w:t>
            </w:r>
          </w:p>
        </w:tc>
        <w:tc>
          <w:tcPr>
            <w:tcW w:w="6868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Japonsko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Kórejský won</w:t>
            </w:r>
          </w:p>
        </w:tc>
        <w:tc>
          <w:tcPr>
            <w:tcW w:w="6868" w:type="dxa"/>
          </w:tcPr>
          <w:p w:rsidR="00F47A3B" w:rsidRPr="00271993" w:rsidRDefault="00E125FE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Kórejská republika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Novozélandský dolár</w:t>
            </w:r>
          </w:p>
        </w:tc>
        <w:tc>
          <w:tcPr>
            <w:tcW w:w="6868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Nový Zéland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Čínsky jüan</w:t>
            </w:r>
          </w:p>
        </w:tc>
        <w:tc>
          <w:tcPr>
            <w:tcW w:w="6868" w:type="dxa"/>
          </w:tcPr>
          <w:p w:rsidR="00F47A3B" w:rsidRPr="00271993" w:rsidRDefault="00F47A3B" w:rsidP="007C4EF8">
            <w:pPr>
              <w:rPr>
                <w:lang w:val="sk-SK"/>
              </w:rPr>
            </w:pPr>
            <w:r w:rsidRPr="00271993">
              <w:rPr>
                <w:lang w:val="sk-SK"/>
              </w:rPr>
              <w:t>Čína</w:t>
            </w:r>
          </w:p>
        </w:tc>
      </w:tr>
      <w:tr w:rsidR="00502F9F" w:rsidRPr="00271993" w:rsidTr="00D31D4E">
        <w:trPr>
          <w:jc w:val="center"/>
        </w:trPr>
        <w:tc>
          <w:tcPr>
            <w:tcW w:w="2161" w:type="dxa"/>
          </w:tcPr>
          <w:p w:rsidR="00502F9F" w:rsidRPr="00271993" w:rsidRDefault="00502F9F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Ruský rubeľ</w:t>
            </w:r>
          </w:p>
        </w:tc>
        <w:tc>
          <w:tcPr>
            <w:tcW w:w="6868" w:type="dxa"/>
          </w:tcPr>
          <w:p w:rsidR="00502F9F" w:rsidRPr="00271993" w:rsidRDefault="00502F9F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Rusko</w:t>
            </w:r>
          </w:p>
        </w:tc>
      </w:tr>
      <w:tr w:rsidR="00D241EC" w:rsidRPr="00271993" w:rsidTr="00D31D4E">
        <w:trPr>
          <w:jc w:val="center"/>
        </w:trPr>
        <w:tc>
          <w:tcPr>
            <w:tcW w:w="2161" w:type="dxa"/>
          </w:tcPr>
          <w:p w:rsidR="00D241EC" w:rsidRPr="00271993" w:rsidRDefault="00D241EC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Indická rupia</w:t>
            </w:r>
          </w:p>
        </w:tc>
        <w:tc>
          <w:tcPr>
            <w:tcW w:w="6868" w:type="dxa"/>
          </w:tcPr>
          <w:p w:rsidR="00D241EC" w:rsidRPr="00271993" w:rsidRDefault="00D241EC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India</w:t>
            </w:r>
          </w:p>
        </w:tc>
      </w:tr>
      <w:tr w:rsidR="00F47A3B" w:rsidRPr="00271993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Taiwanský dolár</w:t>
            </w:r>
          </w:p>
        </w:tc>
        <w:tc>
          <w:tcPr>
            <w:tcW w:w="6868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Taiwan</w:t>
            </w:r>
          </w:p>
        </w:tc>
      </w:tr>
      <w:tr w:rsidR="00F47A3B" w:rsidRPr="00F61EF5" w:rsidTr="00D31D4E">
        <w:trPr>
          <w:jc w:val="center"/>
        </w:trPr>
        <w:tc>
          <w:tcPr>
            <w:tcW w:w="2161" w:type="dxa"/>
          </w:tcPr>
          <w:p w:rsidR="00F47A3B" w:rsidRPr="00271993" w:rsidRDefault="00F47A3B" w:rsidP="00F47A3B">
            <w:pPr>
              <w:rPr>
                <w:lang w:val="sk-SK"/>
              </w:rPr>
            </w:pPr>
            <w:r w:rsidRPr="00271993">
              <w:rPr>
                <w:lang w:val="sk-SK"/>
              </w:rPr>
              <w:t>Americký dolár</w:t>
            </w:r>
          </w:p>
        </w:tc>
        <w:tc>
          <w:tcPr>
            <w:tcW w:w="6868" w:type="dxa"/>
          </w:tcPr>
          <w:p w:rsidR="00F47A3B" w:rsidRPr="00271993" w:rsidRDefault="00F47A3B" w:rsidP="00D55BF9">
            <w:pPr>
              <w:rPr>
                <w:lang w:val="sk-SK"/>
              </w:rPr>
            </w:pPr>
            <w:r w:rsidRPr="00271993">
              <w:rPr>
                <w:lang w:val="sk-SK"/>
              </w:rPr>
              <w:t>Spojené štáty americké, Latinská Amerika, Tichomorská Ázia (</w:t>
            </w:r>
            <w:r w:rsidRPr="00271993">
              <w:rPr>
                <w:i/>
                <w:iCs/>
                <w:lang w:val="sk-SK"/>
              </w:rPr>
              <w:t>okrem Austrálie, Kórey a Nového Zélandu</w:t>
            </w:r>
            <w:r w:rsidRPr="00271993">
              <w:rPr>
                <w:lang w:val="sk-SK"/>
              </w:rPr>
              <w:t>), celá Čína (</w:t>
            </w:r>
            <w:r w:rsidRPr="00271993">
              <w:rPr>
                <w:i/>
                <w:iCs/>
                <w:lang w:val="sk-SK"/>
              </w:rPr>
              <w:t>okrem Číny a Taiwanu</w:t>
            </w:r>
            <w:r w:rsidRPr="00271993">
              <w:rPr>
                <w:lang w:val="sk-SK"/>
              </w:rPr>
              <w:t>), stredná a východná Európa (</w:t>
            </w:r>
            <w:r w:rsidRPr="00271993">
              <w:rPr>
                <w:i/>
                <w:iCs/>
                <w:lang w:val="sk-SK"/>
              </w:rPr>
              <w:t>okrem Českej republiky, Grécka, Maďarska, Poľska, Rumunska, Bulharska, Cypru, Malty, Estónska, Lotyšska, Litvy, Slovenska, Slovinska a Chorvátska</w:t>
            </w:r>
            <w:r w:rsidRPr="00271993">
              <w:rPr>
                <w:lang w:val="sk-SK"/>
              </w:rPr>
              <w:t>), Stredný východ a Afrika</w:t>
            </w:r>
          </w:p>
        </w:tc>
      </w:tr>
    </w:tbl>
    <w:p w:rsidR="00BA48B1" w:rsidRPr="00271993" w:rsidRDefault="00BA48B1" w:rsidP="00BA48B1">
      <w:pPr>
        <w:keepNext/>
        <w:spacing w:before="360" w:after="120"/>
        <w:rPr>
          <w:b/>
          <w:bCs/>
          <w:sz w:val="24"/>
          <w:szCs w:val="24"/>
          <w:lang w:val="sk-SK"/>
        </w:rPr>
      </w:pPr>
      <w:r w:rsidRPr="00271993">
        <w:rPr>
          <w:b/>
          <w:bCs/>
          <w:sz w:val="24"/>
          <w:szCs w:val="24"/>
          <w:lang w:val="sk-SK"/>
        </w:rPr>
        <w:t>Menová tabuľka pre nepriamy predaj v EÚ/EZVO: Select a Academic Select, Select Plus a 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271993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271993" w:rsidRDefault="00BA48B1" w:rsidP="007B550A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Mena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271993" w:rsidRDefault="00BA48B1" w:rsidP="007B550A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Akceptovaná v oblastiach</w:t>
            </w:r>
          </w:p>
        </w:tc>
      </w:tr>
      <w:tr w:rsidR="00BA48B1" w:rsidRPr="00F61EF5" w:rsidTr="007B550A">
        <w:trPr>
          <w:jc w:val="center"/>
        </w:trPr>
        <w:tc>
          <w:tcPr>
            <w:tcW w:w="2161" w:type="dxa"/>
          </w:tcPr>
          <w:p w:rsidR="00BA48B1" w:rsidRPr="00271993" w:rsidRDefault="00BA48B1" w:rsidP="007B550A">
            <w:pPr>
              <w:rPr>
                <w:lang w:val="sk-SK"/>
              </w:rPr>
            </w:pPr>
            <w:r w:rsidRPr="00271993">
              <w:rPr>
                <w:lang w:val="sk-SK"/>
              </w:rPr>
              <w:t>Euro, anglická libra, švédska koruna, dánska koruna, nórska koruna, švajčiarsky frank</w:t>
            </w:r>
          </w:p>
        </w:tc>
        <w:tc>
          <w:tcPr>
            <w:tcW w:w="6868" w:type="dxa"/>
          </w:tcPr>
          <w:p w:rsidR="00BA48B1" w:rsidRPr="00271993" w:rsidRDefault="00BA48B1" w:rsidP="007B550A">
            <w:pPr>
              <w:rPr>
                <w:lang w:val="sk-SK"/>
              </w:rPr>
            </w:pPr>
            <w:r w:rsidRPr="00271993">
              <w:rPr>
                <w:lang w:val="sk-SK"/>
              </w:rPr>
              <w:t xml:space="preserve">Belgicko, Nemecko, Írsko, Grécko, Španielsko, Francúzsko, Taliansko, Luxembursko, Holandsko, Rakúsko, Portugalsko, Fínsko, Bulharsko, Cyprus, Česká republika, Estónsko, Maďarsko, Lotyšsko, Litva, Malta, Poľsko, Rumunsko, Slovensko, Slovinsko, Chorvátsko, Spojené kráľovstvo, Švajčiarsko, Island, Lichtenštajnsko, Nórsko, Švédsko, </w:t>
            </w:r>
            <w:r w:rsidR="00547859" w:rsidRPr="00271993">
              <w:rPr>
                <w:lang w:val="sk-SK"/>
              </w:rPr>
              <w:t>Andorra</w:t>
            </w:r>
            <w:r w:rsidRPr="00271993">
              <w:rPr>
                <w:lang w:val="sk-SK"/>
              </w:rPr>
              <w:t>, Monako, San Maríno, Svätá stolica (Vatikán), Azory, Kanárske ostrovy, Francúzske južné a antarktické územia a Madeira.</w:t>
            </w:r>
          </w:p>
        </w:tc>
      </w:tr>
    </w:tbl>
    <w:p w:rsidR="00D241EC" w:rsidRPr="00271993" w:rsidRDefault="00D241EC" w:rsidP="00940CC9">
      <w:pPr>
        <w:keepNext/>
        <w:spacing w:before="360" w:after="120"/>
        <w:rPr>
          <w:lang w:val="sk-SK"/>
        </w:rPr>
      </w:pPr>
      <w:r w:rsidRPr="00271993">
        <w:rPr>
          <w:b/>
          <w:bCs/>
          <w:sz w:val="24"/>
          <w:szCs w:val="24"/>
          <w:lang w:val="sk-SK"/>
        </w:rPr>
        <w:t>Menová tabuľka pre priamy predaj koncovým zákazníkom v EÚ/EZVO: Enterprise (iba priamy predaj) and Enterprise Subscription (iba priamy predaj)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271993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271993" w:rsidRDefault="00D241EC" w:rsidP="000217E6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Mena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271993" w:rsidRDefault="00D241EC" w:rsidP="000217E6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Akceptovaná v oblastiach</w:t>
            </w:r>
          </w:p>
        </w:tc>
      </w:tr>
      <w:tr w:rsidR="00D241EC" w:rsidRPr="00271993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Dánska koruna</w:t>
            </w:r>
          </w:p>
        </w:tc>
        <w:tc>
          <w:tcPr>
            <w:tcW w:w="6868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Dánsko</w:t>
            </w:r>
          </w:p>
        </w:tc>
      </w:tr>
      <w:tr w:rsidR="00D241EC" w:rsidRPr="00F61EF5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EURO</w:t>
            </w:r>
          </w:p>
        </w:tc>
        <w:tc>
          <w:tcPr>
            <w:tcW w:w="6868" w:type="dxa"/>
          </w:tcPr>
          <w:p w:rsidR="00D241EC" w:rsidRPr="00271993" w:rsidRDefault="00CC7492" w:rsidP="00CC7492">
            <w:pPr>
              <w:rPr>
                <w:lang w:val="sk-SK"/>
              </w:rPr>
            </w:pPr>
            <w:r w:rsidRPr="00271993">
              <w:rPr>
                <w:lang w:val="sk-SK"/>
              </w:rPr>
              <w:t>Krajiny eurozóny v západnej Európe</w:t>
            </w:r>
          </w:p>
        </w:tc>
      </w:tr>
      <w:tr w:rsidR="00D241EC" w:rsidRPr="00271993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Nórska koruna</w:t>
            </w:r>
          </w:p>
        </w:tc>
        <w:tc>
          <w:tcPr>
            <w:tcW w:w="6868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Nórsko</w:t>
            </w:r>
          </w:p>
        </w:tc>
      </w:tr>
      <w:tr w:rsidR="00D241EC" w:rsidRPr="00271993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Anglická libra</w:t>
            </w:r>
          </w:p>
        </w:tc>
        <w:tc>
          <w:tcPr>
            <w:tcW w:w="6868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Spojené kráľovstvo</w:t>
            </w:r>
          </w:p>
        </w:tc>
      </w:tr>
      <w:tr w:rsidR="00D241EC" w:rsidRPr="00271993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Švédska koruna</w:t>
            </w:r>
          </w:p>
        </w:tc>
        <w:tc>
          <w:tcPr>
            <w:tcW w:w="6868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Švédsko</w:t>
            </w:r>
          </w:p>
        </w:tc>
      </w:tr>
      <w:tr w:rsidR="00D241EC" w:rsidRPr="00271993" w:rsidTr="000217E6">
        <w:trPr>
          <w:jc w:val="center"/>
        </w:trPr>
        <w:tc>
          <w:tcPr>
            <w:tcW w:w="2161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Švajčiarsky frank</w:t>
            </w:r>
          </w:p>
        </w:tc>
        <w:tc>
          <w:tcPr>
            <w:tcW w:w="6868" w:type="dxa"/>
          </w:tcPr>
          <w:p w:rsidR="00D241EC" w:rsidRPr="00271993" w:rsidRDefault="00D241EC" w:rsidP="000217E6">
            <w:pPr>
              <w:rPr>
                <w:lang w:val="sk-SK"/>
              </w:rPr>
            </w:pPr>
            <w:r w:rsidRPr="00271993">
              <w:rPr>
                <w:lang w:val="sk-SK"/>
              </w:rPr>
              <w:t>Švajčiarsko</w:t>
            </w:r>
          </w:p>
        </w:tc>
      </w:tr>
    </w:tbl>
    <w:p w:rsidR="00566380" w:rsidRPr="00271993" w:rsidRDefault="00566380" w:rsidP="00276746">
      <w:pPr>
        <w:keepNext/>
        <w:keepLines/>
        <w:spacing w:before="360" w:after="120"/>
        <w:rPr>
          <w:b/>
          <w:bCs/>
          <w:sz w:val="24"/>
          <w:szCs w:val="24"/>
          <w:lang w:val="sk-SK"/>
        </w:rPr>
      </w:pPr>
      <w:r w:rsidRPr="00271993">
        <w:rPr>
          <w:b/>
          <w:bCs/>
          <w:sz w:val="24"/>
          <w:szCs w:val="24"/>
          <w:lang w:val="sk-SK"/>
        </w:rPr>
        <w:lastRenderedPageBreak/>
        <w:t>Menová tabuľka pre nepriamy predaj v EÚ/EZVO: Enterprise (iba nepriamy predaj) a Enterprise Subscription (iba nepriamy predaj)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271993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271993" w:rsidRDefault="00566380" w:rsidP="00276746">
            <w:pPr>
              <w:keepNext/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Mena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271993" w:rsidRDefault="00566380" w:rsidP="000217E6">
            <w:pPr>
              <w:spacing w:before="120" w:after="120"/>
              <w:rPr>
                <w:b/>
                <w:bCs/>
                <w:color w:val="FFFFFF" w:themeColor="background1"/>
                <w:lang w:val="sk-SK"/>
              </w:rPr>
            </w:pPr>
            <w:r w:rsidRPr="00271993">
              <w:rPr>
                <w:b/>
                <w:bCs/>
                <w:color w:val="FFFFFF" w:themeColor="background1"/>
                <w:lang w:val="sk-SK"/>
              </w:rPr>
              <w:t>Akceptovaná v oblastiach</w:t>
            </w:r>
          </w:p>
        </w:tc>
      </w:tr>
      <w:tr w:rsidR="00566380" w:rsidRPr="00F61EF5" w:rsidTr="000217E6">
        <w:trPr>
          <w:jc w:val="center"/>
        </w:trPr>
        <w:tc>
          <w:tcPr>
            <w:tcW w:w="2161" w:type="dxa"/>
          </w:tcPr>
          <w:p w:rsidR="00566380" w:rsidRPr="00271993" w:rsidRDefault="00566380" w:rsidP="00566380">
            <w:pPr>
              <w:rPr>
                <w:lang w:val="sk-SK"/>
              </w:rPr>
            </w:pPr>
            <w:r w:rsidRPr="00271993">
              <w:rPr>
                <w:lang w:val="sk-SK"/>
              </w:rPr>
              <w:t>Euro</w:t>
            </w:r>
          </w:p>
        </w:tc>
        <w:tc>
          <w:tcPr>
            <w:tcW w:w="6868" w:type="dxa"/>
          </w:tcPr>
          <w:p w:rsidR="00566380" w:rsidRPr="00271993" w:rsidRDefault="00566380" w:rsidP="00566380">
            <w:pPr>
              <w:rPr>
                <w:lang w:val="sk-SK"/>
              </w:rPr>
            </w:pPr>
            <w:r w:rsidRPr="00271993">
              <w:rPr>
                <w:lang w:val="sk-SK"/>
              </w:rPr>
              <w:t>Stredná a východná Európa (iba Bulharsko, Cyprus, Česká republika, Estónsko, Maďarsko, Lotyšsko, Litva, Malta, Poľsko, Rumunsko, Slovensko, Slovinsko a Chorvátsko)</w:t>
            </w:r>
          </w:p>
        </w:tc>
      </w:tr>
    </w:tbl>
    <w:p w:rsidR="00D241EC" w:rsidRPr="00271993" w:rsidRDefault="00D241EC" w:rsidP="00502F9F">
      <w:pPr>
        <w:rPr>
          <w:lang w:val="sk-SK"/>
        </w:rPr>
      </w:pPr>
    </w:p>
    <w:sectPr w:rsidR="00D241EC" w:rsidRPr="00271993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D5A" w:rsidRDefault="00204D5A" w:rsidP="00F47A3B">
      <w:pPr>
        <w:spacing w:before="0"/>
      </w:pPr>
      <w:r>
        <w:separator/>
      </w:r>
    </w:p>
  </w:endnote>
  <w:endnote w:type="continuationSeparator" w:id="0">
    <w:p w:rsidR="00204D5A" w:rsidRDefault="00204D5A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0954" w:rsidRDefault="00C709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3"/>
      <w:gridCol w:w="4456"/>
    </w:tblGrid>
    <w:tr w:rsidR="00C70954" w:rsidRPr="00C70954" w:rsidTr="006A5F35">
      <w:trPr>
        <w:jc w:val="center"/>
      </w:trPr>
      <w:tc>
        <w:tcPr>
          <w:tcW w:w="4621" w:type="dxa"/>
          <w:shd w:val="clear" w:color="auto" w:fill="auto"/>
        </w:tcPr>
        <w:p w:rsidR="00C70954" w:rsidRPr="00C70954" w:rsidRDefault="00C70954" w:rsidP="00C70954">
          <w:pPr>
            <w:pStyle w:val="Footer"/>
            <w:rPr>
              <w:sz w:val="16"/>
              <w:szCs w:val="16"/>
            </w:rPr>
          </w:pPr>
          <w:r w:rsidRPr="00C70954">
            <w:rPr>
              <w:sz w:val="16"/>
              <w:szCs w:val="16"/>
            </w:rPr>
            <w:t>ProgramCurrencyTable(WW)(SLK)(May2014)</w:t>
          </w:r>
        </w:p>
      </w:tc>
      <w:tc>
        <w:tcPr>
          <w:tcW w:w="4622" w:type="dxa"/>
          <w:shd w:val="clear" w:color="auto" w:fill="auto"/>
        </w:tcPr>
        <w:p w:rsidR="00C70954" w:rsidRPr="00C70954" w:rsidRDefault="00C70954" w:rsidP="00C70954">
          <w:pPr>
            <w:jc w:val="right"/>
            <w:rPr>
              <w:sz w:val="16"/>
              <w:szCs w:val="16"/>
            </w:rPr>
          </w:pPr>
          <w:r w:rsidRPr="00C70954">
            <w:rPr>
              <w:sz w:val="16"/>
              <w:szCs w:val="16"/>
            </w:rPr>
            <w:t xml:space="preserve">Page </w:t>
          </w:r>
          <w:r w:rsidRPr="00C70954">
            <w:rPr>
              <w:sz w:val="16"/>
              <w:szCs w:val="16"/>
            </w:rPr>
            <w:fldChar w:fldCharType="begin"/>
          </w:r>
          <w:r w:rsidRPr="00C70954">
            <w:rPr>
              <w:sz w:val="16"/>
              <w:szCs w:val="16"/>
            </w:rPr>
            <w:instrText xml:space="preserve"> PAGE  \* MERGEFORMAT </w:instrText>
          </w:r>
          <w:r w:rsidRPr="00C70954">
            <w:rPr>
              <w:sz w:val="16"/>
              <w:szCs w:val="16"/>
            </w:rPr>
            <w:fldChar w:fldCharType="separate"/>
          </w:r>
          <w:r w:rsidR="008A6288">
            <w:rPr>
              <w:noProof/>
              <w:sz w:val="16"/>
              <w:szCs w:val="16"/>
            </w:rPr>
            <w:t>1</w:t>
          </w:r>
          <w:r w:rsidRPr="00C70954">
            <w:rPr>
              <w:sz w:val="16"/>
              <w:szCs w:val="16"/>
            </w:rPr>
            <w:fldChar w:fldCharType="end"/>
          </w:r>
          <w:r w:rsidRPr="00C70954">
            <w:rPr>
              <w:sz w:val="16"/>
              <w:szCs w:val="16"/>
            </w:rPr>
            <w:t xml:space="preserve"> of </w:t>
          </w:r>
          <w:r w:rsidRPr="00C70954">
            <w:rPr>
              <w:sz w:val="16"/>
              <w:szCs w:val="16"/>
            </w:rPr>
            <w:fldChar w:fldCharType="begin"/>
          </w:r>
          <w:r w:rsidRPr="00C70954">
            <w:rPr>
              <w:sz w:val="16"/>
              <w:szCs w:val="16"/>
            </w:rPr>
            <w:instrText xml:space="preserve"> NUMPAGES  \* MERGEFORMAT </w:instrText>
          </w:r>
          <w:r w:rsidRPr="00C70954">
            <w:rPr>
              <w:sz w:val="16"/>
              <w:szCs w:val="16"/>
            </w:rPr>
            <w:fldChar w:fldCharType="separate"/>
          </w:r>
          <w:r w:rsidR="008A6288">
            <w:rPr>
              <w:noProof/>
              <w:sz w:val="16"/>
              <w:szCs w:val="16"/>
            </w:rPr>
            <w:t>2</w:t>
          </w:r>
          <w:r w:rsidRPr="00C70954">
            <w:rPr>
              <w:sz w:val="16"/>
              <w:szCs w:val="16"/>
            </w:rPr>
            <w:fldChar w:fldCharType="end"/>
          </w:r>
        </w:p>
        <w:p w:rsidR="00C70954" w:rsidRPr="00C70954" w:rsidRDefault="00C70954" w:rsidP="00C70954">
          <w:pPr>
            <w:jc w:val="right"/>
            <w:rPr>
              <w:sz w:val="16"/>
              <w:szCs w:val="16"/>
            </w:rPr>
          </w:pPr>
        </w:p>
      </w:tc>
    </w:tr>
  </w:tbl>
  <w:p w:rsidR="00C70954" w:rsidRPr="00C70954" w:rsidRDefault="00C70954" w:rsidP="00C70954">
    <w:pPr>
      <w:pStyle w:val="Footer"/>
      <w:rPr>
        <w:sz w:val="16"/>
      </w:rPr>
    </w:pPr>
  </w:p>
  <w:p w:rsidR="00D8728E" w:rsidRPr="00C70954" w:rsidRDefault="00D8728E" w:rsidP="00C7095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0954" w:rsidRDefault="00C709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D5A" w:rsidRDefault="00204D5A" w:rsidP="00F47A3B">
      <w:pPr>
        <w:spacing w:before="0"/>
      </w:pPr>
      <w:r>
        <w:separator/>
      </w:r>
    </w:p>
  </w:footnote>
  <w:footnote w:type="continuationSeparator" w:id="0">
    <w:p w:rsidR="00204D5A" w:rsidRDefault="00204D5A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8A6288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50" type="#_x0000_t75" style="position:absolute;left:0;text-align:left;margin-left:0;margin-top:0;width:451.2pt;height:254.35pt;z-index:-251655168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A3B" w:rsidRDefault="008A6288" w:rsidP="00502F9F">
    <w:pPr>
      <w:pStyle w:val="Header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1" type="#_x0000_t75" style="position:absolute;left:0;text-align:left;margin-left:0;margin-top:0;width:451.2pt;height:254.35pt;z-index:-251654144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FB674C">
      <w:rPr>
        <w:noProof/>
        <w:lang w:eastAsia="en-US"/>
      </w:rPr>
      <w:drawing>
        <wp:anchor distT="0" distB="0" distL="114300" distR="114300" simplePos="0" relativeHeight="251664384" behindDoc="0" locked="0" layoutInCell="1" allowOverlap="1" wp14:anchorId="787D9455" wp14:editId="04B07BD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674C">
      <w:rPr>
        <w:noProof/>
        <w:lang w:eastAsia="en-US"/>
      </w:rPr>
      <w:drawing>
        <wp:anchor distT="0" distB="0" distL="114300" distR="114300" simplePos="0" relativeHeight="251657216" behindDoc="0" locked="0" layoutInCell="1" allowOverlap="1" wp14:anchorId="018B9D6F" wp14:editId="642352E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B674C">
      <w:rPr>
        <w:noProof/>
        <w:lang w:eastAsia="en-US"/>
      </w:rPr>
      <w:drawing>
        <wp:inline distT="0" distB="0" distL="0" distR="0" wp14:anchorId="3A2FA4B6" wp14:editId="50CE9BAE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8A6288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49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F3C88"/>
    <w:rsid w:val="00127935"/>
    <w:rsid w:val="00150D7A"/>
    <w:rsid w:val="001732AA"/>
    <w:rsid w:val="00173A65"/>
    <w:rsid w:val="001A2430"/>
    <w:rsid w:val="00204D5A"/>
    <w:rsid w:val="00230A15"/>
    <w:rsid w:val="00236B5D"/>
    <w:rsid w:val="00265BCD"/>
    <w:rsid w:val="00271993"/>
    <w:rsid w:val="00276746"/>
    <w:rsid w:val="00295738"/>
    <w:rsid w:val="002E7E95"/>
    <w:rsid w:val="00303BB9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501F3E"/>
    <w:rsid w:val="00502F9F"/>
    <w:rsid w:val="00547859"/>
    <w:rsid w:val="00566380"/>
    <w:rsid w:val="0057356E"/>
    <w:rsid w:val="00575132"/>
    <w:rsid w:val="005B6BDE"/>
    <w:rsid w:val="00601731"/>
    <w:rsid w:val="006024A3"/>
    <w:rsid w:val="00620BAB"/>
    <w:rsid w:val="00640BBF"/>
    <w:rsid w:val="006502C6"/>
    <w:rsid w:val="00696909"/>
    <w:rsid w:val="00696913"/>
    <w:rsid w:val="0074795E"/>
    <w:rsid w:val="00780C11"/>
    <w:rsid w:val="00782E5A"/>
    <w:rsid w:val="007C4EF8"/>
    <w:rsid w:val="00840479"/>
    <w:rsid w:val="00862FE3"/>
    <w:rsid w:val="008757D1"/>
    <w:rsid w:val="008A5BE0"/>
    <w:rsid w:val="008A6288"/>
    <w:rsid w:val="00940CC9"/>
    <w:rsid w:val="009715AB"/>
    <w:rsid w:val="009921AA"/>
    <w:rsid w:val="00A76CC3"/>
    <w:rsid w:val="00AB3FE7"/>
    <w:rsid w:val="00B17A66"/>
    <w:rsid w:val="00B40DDE"/>
    <w:rsid w:val="00B8430A"/>
    <w:rsid w:val="00BA48B1"/>
    <w:rsid w:val="00BB22DF"/>
    <w:rsid w:val="00C175E3"/>
    <w:rsid w:val="00C70954"/>
    <w:rsid w:val="00C926B9"/>
    <w:rsid w:val="00CA2405"/>
    <w:rsid w:val="00CC7492"/>
    <w:rsid w:val="00CE2044"/>
    <w:rsid w:val="00CE7C35"/>
    <w:rsid w:val="00D22001"/>
    <w:rsid w:val="00D241EC"/>
    <w:rsid w:val="00D31D4E"/>
    <w:rsid w:val="00D55BF9"/>
    <w:rsid w:val="00D8728E"/>
    <w:rsid w:val="00DE38F4"/>
    <w:rsid w:val="00E125FE"/>
    <w:rsid w:val="00E44E1F"/>
    <w:rsid w:val="00E8472D"/>
    <w:rsid w:val="00EA615E"/>
    <w:rsid w:val="00F15936"/>
    <w:rsid w:val="00F30882"/>
    <w:rsid w:val="00F46710"/>
    <w:rsid w:val="00F47A3B"/>
    <w:rsid w:val="00F52B50"/>
    <w:rsid w:val="00F61EF5"/>
    <w:rsid w:val="00F9763E"/>
    <w:rsid w:val="00FB674C"/>
    <w:rsid w:val="00FD15BA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BD03023D-7415-46A5-ACDE-DE491F8D0B85}"/>
  <w:documentProtection w:edit="forms" w:enforcement="true" w:cryptProviderType="rsaFull" w:cryptAlgorithmClass="hash" w:cryptAlgorithmType="typeAny" w:cryptAlgorithmSid="4" w:cryptSpinCount="50000" w:hash="mP8R80PGCqVrsZaF6oFvGpQ6sng=" w:salt="5X4Ma+6K9RXXynXrk8oV+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Arial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F47A3B"/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F47A3B"/>
  </w:style>
  <w:style w:type="table" w:styleId="TableGrid">
    <w:name w:val="Table Grid"/>
    <w:basedOn w:val="TableNormal"/>
    <w:uiPriority w:val="59"/>
    <w:rsid w:val="00F47A3B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b w:val="0"/>
      <w:color w:val="808080"/>
      <w:sz w:val="18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b w:val="0"/>
      <w:color w:val="FF000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32</cp:revision>
  <cp:lastPrinted>2014-05-19T11:14:00Z</cp:lastPrinted>
  <dcterms:created xsi:type="dcterms:W3CDTF">2014-04-30T17:13:00Z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