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6C3D1F" w:rsidRDefault="00F47A3B" w:rsidP="00276746">
      <w:pPr>
        <w:spacing w:before="240"/>
        <w:jc w:val="left"/>
        <w:rPr>
          <w:rFonts w:ascii="Tahoma" w:hAnsi="Tahoma" w:cs="Tahoma"/>
          <w:sz w:val="36"/>
          <w:szCs w:val="36"/>
        </w:rPr>
        <w:sectPr w:rsidR="002E7E95" w:rsidRPr="006C3D1F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6C3D1F">
        <w:rPr>
          <w:rFonts w:ascii="Tahoma" w:hAnsi="Tahoma" w:cs="Tahoma"/>
          <w:sz w:val="36"/>
          <w:szCs w:val="36"/>
        </w:rPr>
        <w:t xml:space="preserve">Enterprise </w:t>
      </w:r>
      <w:r w:rsidRPr="006C3D1F">
        <w:rPr>
          <w:rFonts w:ascii="Tahoma" w:hAnsi="Tahoma" w:cs="Tahoma"/>
          <w:sz w:val="36"/>
          <w:szCs w:val="36"/>
          <w:cs/>
          <w:lang w:bidi="th-TH"/>
        </w:rPr>
        <w:t>และ</w:t>
      </w:r>
      <w:r w:rsidRPr="006C3D1F">
        <w:rPr>
          <w:rFonts w:ascii="Tahoma" w:hAnsi="Tahoma" w:cs="Tahoma"/>
          <w:sz w:val="36"/>
          <w:szCs w:val="36"/>
        </w:rPr>
        <w:t xml:space="preserve"> Enterprise Subscription</w:t>
      </w:r>
    </w:p>
    <w:p w:rsidR="00F47A3B" w:rsidRPr="006C3D1F" w:rsidRDefault="00F47A3B" w:rsidP="00276746">
      <w:pPr>
        <w:spacing w:before="0"/>
        <w:rPr>
          <w:rFonts w:ascii="Tahoma" w:hAnsi="Tahoma" w:cs="Tahoma"/>
          <w:sz w:val="36"/>
          <w:szCs w:val="36"/>
        </w:rPr>
      </w:pPr>
      <w:r w:rsidRPr="006C3D1F">
        <w:rPr>
          <w:rFonts w:ascii="Tahoma" w:hAnsi="Tahoma" w:cs="Tahoma"/>
          <w:sz w:val="36"/>
          <w:szCs w:val="36"/>
        </w:rPr>
        <w:lastRenderedPageBreak/>
        <w:t xml:space="preserve">Select </w:t>
      </w:r>
      <w:r w:rsidRPr="006C3D1F">
        <w:rPr>
          <w:rFonts w:ascii="Tahoma" w:hAnsi="Tahoma" w:cs="Tahoma"/>
          <w:sz w:val="36"/>
          <w:szCs w:val="36"/>
          <w:cs/>
          <w:lang w:bidi="th-TH"/>
        </w:rPr>
        <w:t>และ</w:t>
      </w:r>
      <w:r w:rsidRPr="006C3D1F">
        <w:rPr>
          <w:rFonts w:ascii="Tahoma" w:hAnsi="Tahoma" w:cs="Tahoma"/>
          <w:sz w:val="36"/>
          <w:szCs w:val="36"/>
        </w:rPr>
        <w:t xml:space="preserve"> Academic Select</w:t>
      </w:r>
    </w:p>
    <w:p w:rsidR="00F47A3B" w:rsidRPr="006C3D1F" w:rsidRDefault="00F47A3B" w:rsidP="00276746">
      <w:pPr>
        <w:spacing w:before="0" w:after="240"/>
        <w:rPr>
          <w:rFonts w:ascii="Tahoma" w:hAnsi="Tahoma" w:cs="Tahoma"/>
          <w:sz w:val="36"/>
          <w:szCs w:val="36"/>
        </w:rPr>
      </w:pPr>
      <w:r w:rsidRPr="006C3D1F">
        <w:rPr>
          <w:rFonts w:ascii="Tahoma" w:hAnsi="Tahoma" w:cs="Tahoma"/>
          <w:sz w:val="36"/>
          <w:szCs w:val="36"/>
        </w:rPr>
        <w:t xml:space="preserve">Select Plus </w:t>
      </w:r>
      <w:r w:rsidRPr="006C3D1F">
        <w:rPr>
          <w:rFonts w:ascii="Tahoma" w:hAnsi="Tahoma" w:cs="Tahoma"/>
          <w:sz w:val="36"/>
          <w:szCs w:val="36"/>
          <w:cs/>
          <w:lang w:bidi="th-TH"/>
        </w:rPr>
        <w:t>และ</w:t>
      </w:r>
      <w:r w:rsidRPr="006C3D1F">
        <w:rPr>
          <w:rFonts w:ascii="Tahoma" w:hAnsi="Tahoma" w:cs="Tahoma"/>
          <w:sz w:val="36"/>
          <w:szCs w:val="36"/>
        </w:rPr>
        <w:t xml:space="preserve"> Academic Select Plus</w:t>
      </w:r>
    </w:p>
    <w:p w:rsidR="00F47A3B" w:rsidRPr="006C3D1F" w:rsidRDefault="00F47A3B" w:rsidP="00F47A3B">
      <w:pPr>
        <w:keepNext/>
        <w:spacing w:before="360" w:after="120"/>
        <w:rPr>
          <w:rFonts w:ascii="Tahoma" w:hAnsi="Tahoma" w:cs="Tahoma"/>
          <w:b/>
          <w:bCs/>
          <w:sz w:val="24"/>
          <w:szCs w:val="24"/>
        </w:rPr>
      </w:pP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ตารางสกุลเงิน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6C3D1F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6C3D1F" w:rsidRDefault="00F47A3B" w:rsidP="00F47A3B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สกุลเงิน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6C3D1F" w:rsidRDefault="00F47A3B" w:rsidP="00F47A3B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ตำแหน่งที่ตั้งที่รับสกุลเงิน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ดอลลาร์ออสเตรเลีย</w:t>
            </w:r>
          </w:p>
        </w:tc>
        <w:tc>
          <w:tcPr>
            <w:tcW w:w="6868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ออสเตรเลีย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ดอลลาร์แคนาดา</w:t>
            </w:r>
          </w:p>
        </w:tc>
        <w:tc>
          <w:tcPr>
            <w:tcW w:w="6868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แคนาดา</w:t>
            </w:r>
          </w:p>
        </w:tc>
      </w:tr>
      <w:tr w:rsidR="00502F9F" w:rsidRPr="006C3D1F" w:rsidTr="00D31D4E">
        <w:trPr>
          <w:jc w:val="center"/>
        </w:trPr>
        <w:tc>
          <w:tcPr>
            <w:tcW w:w="2161" w:type="dxa"/>
          </w:tcPr>
          <w:p w:rsidR="00502F9F" w:rsidRPr="006C3D1F" w:rsidRDefault="00502F9F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รูปีอินเดีย</w:t>
            </w:r>
          </w:p>
        </w:tc>
        <w:tc>
          <w:tcPr>
            <w:tcW w:w="6868" w:type="dxa"/>
          </w:tcPr>
          <w:p w:rsidR="00502F9F" w:rsidRPr="006C3D1F" w:rsidRDefault="00502F9F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อินเดีย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เยนญี่ปุ่น</w:t>
            </w:r>
          </w:p>
        </w:tc>
        <w:tc>
          <w:tcPr>
            <w:tcW w:w="6868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ญี่ปุ่น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วอนเกาหลี</w:t>
            </w:r>
          </w:p>
        </w:tc>
        <w:tc>
          <w:tcPr>
            <w:tcW w:w="6868" w:type="dxa"/>
          </w:tcPr>
          <w:p w:rsidR="00F47A3B" w:rsidRPr="006C3D1F" w:rsidRDefault="00D241EC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เกาหลีใต้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ดอลลาร์นิวซีแลนด์</w:t>
            </w:r>
          </w:p>
        </w:tc>
        <w:tc>
          <w:tcPr>
            <w:tcW w:w="6868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นิวซีแลนด์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หยวนเรนมินบิ</w:t>
            </w:r>
          </w:p>
        </w:tc>
        <w:tc>
          <w:tcPr>
            <w:tcW w:w="6868" w:type="dxa"/>
          </w:tcPr>
          <w:p w:rsidR="00F47A3B" w:rsidRPr="006C3D1F" w:rsidRDefault="00F47A3B" w:rsidP="007C4EF8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จีน</w:t>
            </w:r>
          </w:p>
        </w:tc>
      </w:tr>
      <w:tr w:rsidR="00502F9F" w:rsidRPr="006C3D1F" w:rsidTr="00D31D4E">
        <w:trPr>
          <w:jc w:val="center"/>
        </w:trPr>
        <w:tc>
          <w:tcPr>
            <w:tcW w:w="2161" w:type="dxa"/>
          </w:tcPr>
          <w:p w:rsidR="00502F9F" w:rsidRPr="006C3D1F" w:rsidRDefault="00502F9F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รูเบิลรัสเซีย</w:t>
            </w:r>
          </w:p>
        </w:tc>
        <w:tc>
          <w:tcPr>
            <w:tcW w:w="6868" w:type="dxa"/>
          </w:tcPr>
          <w:p w:rsidR="00502F9F" w:rsidRPr="006C3D1F" w:rsidRDefault="00502F9F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รัสเซีย</w:t>
            </w:r>
          </w:p>
        </w:tc>
      </w:tr>
      <w:tr w:rsidR="00D241EC" w:rsidRPr="006C3D1F" w:rsidTr="00D31D4E">
        <w:trPr>
          <w:jc w:val="center"/>
        </w:trPr>
        <w:tc>
          <w:tcPr>
            <w:tcW w:w="2161" w:type="dxa"/>
          </w:tcPr>
          <w:p w:rsidR="00D241EC" w:rsidRPr="006C3D1F" w:rsidRDefault="00D241EC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รูปีอินเดีย</w:t>
            </w:r>
          </w:p>
        </w:tc>
        <w:tc>
          <w:tcPr>
            <w:tcW w:w="6868" w:type="dxa"/>
          </w:tcPr>
          <w:p w:rsidR="00D241EC" w:rsidRPr="006C3D1F" w:rsidRDefault="00D241EC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อินเดีย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ดอลลาร์ไต้หวัน</w:t>
            </w:r>
          </w:p>
        </w:tc>
        <w:tc>
          <w:tcPr>
            <w:tcW w:w="6868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ไต้หวัน</w:t>
            </w:r>
          </w:p>
        </w:tc>
      </w:tr>
      <w:tr w:rsidR="00F47A3B" w:rsidRPr="006C3D1F" w:rsidTr="00D31D4E">
        <w:trPr>
          <w:jc w:val="center"/>
        </w:trPr>
        <w:tc>
          <w:tcPr>
            <w:tcW w:w="2161" w:type="dxa"/>
          </w:tcPr>
          <w:p w:rsidR="00F47A3B" w:rsidRPr="006C3D1F" w:rsidRDefault="00F47A3B" w:rsidP="00F47A3B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ดอลลาร์สหรัฐ</w:t>
            </w:r>
          </w:p>
        </w:tc>
        <w:tc>
          <w:tcPr>
            <w:tcW w:w="6868" w:type="dxa"/>
          </w:tcPr>
          <w:p w:rsidR="00F47A3B" w:rsidRPr="006C3D1F" w:rsidRDefault="00F47A3B" w:rsidP="00D55BF9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สหรัฐอเมริกา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ละตินอเมริกา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เอเชียแปซิฟิก</w:t>
            </w:r>
            <w:r w:rsidRPr="006C3D1F">
              <w:rPr>
                <w:rFonts w:ascii="Tahoma" w:hAnsi="Tahoma" w:cs="Tahoma"/>
              </w:rPr>
              <w:t xml:space="preserve"> (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ยกเว้นออสเตรเลีย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เกาหลี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นิวซีแลนด์</w:t>
            </w:r>
            <w:r w:rsidRPr="006C3D1F">
              <w:rPr>
                <w:rFonts w:ascii="Tahoma" w:hAnsi="Tahoma" w:cs="Tahoma"/>
              </w:rPr>
              <w:t>) Greater China (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ยกเว้นจีนและไต้หวัน</w:t>
            </w:r>
            <w:r w:rsidRPr="006C3D1F">
              <w:rPr>
                <w:rFonts w:ascii="Tahoma" w:hAnsi="Tahoma" w:cs="Tahoma"/>
              </w:rPr>
              <w:t xml:space="preserve">) </w:t>
            </w:r>
            <w:r w:rsidRPr="006C3D1F">
              <w:rPr>
                <w:rFonts w:ascii="Tahoma" w:hAnsi="Tahoma" w:cs="Tahoma"/>
                <w:cs/>
                <w:lang w:bidi="th-TH"/>
              </w:rPr>
              <w:t>ยุโรปกลางและยุโรปตะวันออก</w:t>
            </w:r>
            <w:r w:rsidRPr="006C3D1F">
              <w:rPr>
                <w:rFonts w:ascii="Tahoma" w:hAnsi="Tahoma" w:cs="Tahoma"/>
              </w:rPr>
              <w:t xml:space="preserve"> (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ยกเว้นสาธารณรัฐเช็ก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กรีซ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ฮังการี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โปแลนด์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โรมาเนีย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บัลแกเรีย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ไซปรัส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มอลตา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เอสโตเนีย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ลัตเวีย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ลิทัวเนีย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สโลวะเกีย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สโลวีเนีย</w:t>
            </w:r>
            <w:r w:rsidRPr="006C3D1F">
              <w:rPr>
                <w:rFonts w:ascii="Tahoma" w:hAnsi="Tahoma" w:cs="Tahoma"/>
                <w:i/>
                <w:iCs/>
              </w:rPr>
              <w:t xml:space="preserve"> </w:t>
            </w:r>
            <w:r w:rsidRPr="006C3D1F">
              <w:rPr>
                <w:rFonts w:ascii="Tahoma" w:hAnsi="Tahoma" w:cs="Tahoma"/>
                <w:i/>
                <w:iCs/>
                <w:cs/>
                <w:lang w:bidi="th-TH"/>
              </w:rPr>
              <w:t>และโครเอเชีย</w:t>
            </w:r>
            <w:r w:rsidRPr="006C3D1F">
              <w:rPr>
                <w:rFonts w:ascii="Tahoma" w:hAnsi="Tahoma" w:cs="Tahoma"/>
              </w:rPr>
              <w:t xml:space="preserve">) </w:t>
            </w:r>
            <w:r w:rsidRPr="006C3D1F">
              <w:rPr>
                <w:rFonts w:ascii="Tahoma" w:hAnsi="Tahoma" w:cs="Tahoma"/>
                <w:cs/>
                <w:lang w:bidi="th-TH"/>
              </w:rPr>
              <w:t>ตะวันออกกลาง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และแอฟริกา</w:t>
            </w:r>
          </w:p>
        </w:tc>
      </w:tr>
    </w:tbl>
    <w:p w:rsidR="00BA48B1" w:rsidRPr="006C3D1F" w:rsidRDefault="00BA48B1" w:rsidP="00BA48B1">
      <w:pPr>
        <w:keepNext/>
        <w:spacing w:before="360" w:after="120"/>
        <w:rPr>
          <w:rFonts w:ascii="Tahoma" w:hAnsi="Tahoma" w:cs="Tahoma"/>
          <w:b/>
          <w:bCs/>
          <w:sz w:val="24"/>
          <w:szCs w:val="24"/>
        </w:rPr>
      </w:pP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ตารางสกุลเงินสำหรับการขายทางอ้อมใน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EU/EFTA: Select 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และ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Academic Select, Select Plus 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และ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6C3D1F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6C3D1F" w:rsidRDefault="00BA48B1" w:rsidP="007B550A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สกุลเงิน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6C3D1F" w:rsidRDefault="00BA48B1" w:rsidP="007B550A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ตำแหน่งที่ตั้งที่รับสกุลเงิน</w:t>
            </w:r>
          </w:p>
        </w:tc>
      </w:tr>
      <w:tr w:rsidR="00BA48B1" w:rsidRPr="006C3D1F" w:rsidTr="007B550A">
        <w:trPr>
          <w:jc w:val="center"/>
        </w:trPr>
        <w:tc>
          <w:tcPr>
            <w:tcW w:w="2161" w:type="dxa"/>
          </w:tcPr>
          <w:p w:rsidR="00BA48B1" w:rsidRPr="006C3D1F" w:rsidRDefault="00BA48B1" w:rsidP="007B550A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ยูโร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ปอนด์สเตอร์ลิง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โครนาสวีเดน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โครนเดนมาร์ก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โครนนอร์เวย์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ฟรังก์สวิส</w:t>
            </w:r>
          </w:p>
        </w:tc>
        <w:tc>
          <w:tcPr>
            <w:tcW w:w="6868" w:type="dxa"/>
          </w:tcPr>
          <w:p w:rsidR="00BA48B1" w:rsidRPr="006C3D1F" w:rsidRDefault="00BA48B1" w:rsidP="007B550A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เบลเยียม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เยอรมัน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ไอร์แลนด์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กรีซ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สเปน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ฝรั่งเศส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อิตาลี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ลักเซมเบิร์ก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เนเธอร์แลนด์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ออสเตรีย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โปรตุเกส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ฟินแลนด์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บัลแกเรีย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ไซปรัส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สาธารณรัฐเช็ก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เอสโตเนีย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ฮังการี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ลัตเวีย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ลิทัวเนีย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มอลตา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โปแลนด์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โรมาเนีย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สโลวะเกีย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สโลวีเนีย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โครเอเชีย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สหราชอาณาจักร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สวิตเซอร์แลนด์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ไอซ์แลนด์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ลิกเตนสไตน์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และนอร์เวย์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สวีเดน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อันดอร์รา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โมนาโก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ซานมารีโน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นครวาติกัน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อะซอร์ส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หมู่เกาะคะเนรี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เฟรนช์เซาเทิร์นและแอนตาร์กติกเทร์ริทอรีส์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และมาเดรา</w:t>
            </w:r>
          </w:p>
        </w:tc>
      </w:tr>
    </w:tbl>
    <w:p w:rsidR="00D241EC" w:rsidRPr="006C3D1F" w:rsidRDefault="00D241EC" w:rsidP="00940CC9">
      <w:pPr>
        <w:keepNext/>
        <w:spacing w:before="360" w:after="120"/>
        <w:rPr>
          <w:rFonts w:ascii="Tahoma" w:hAnsi="Tahoma" w:cs="Tahoma"/>
        </w:rPr>
      </w:pP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ตารางสกุลเงินสำหรับการขายตรงให้กับลูกค้าใน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EU/EFTA: Enterprise (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ขายตรงเท่านั้น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) 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และ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Enterprise Subscription (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ขายตรงเท่านั้น</w:t>
      </w:r>
      <w:r w:rsidRPr="006C3D1F">
        <w:rPr>
          <w:rFonts w:ascii="Tahoma" w:hAnsi="Tahoma" w:cs="Tahoma"/>
          <w:b/>
          <w:bCs/>
          <w:sz w:val="24"/>
          <w:szCs w:val="24"/>
        </w:rPr>
        <w:t>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6C3D1F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6C3D1F" w:rsidRDefault="00D241EC" w:rsidP="000217E6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สกุลเงิน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6C3D1F" w:rsidRDefault="00D241EC" w:rsidP="000217E6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ตำแหน่งที่ตั้งที่รับสกุลเงิน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โครนเดนมาร์ก</w:t>
            </w:r>
          </w:p>
        </w:tc>
        <w:tc>
          <w:tcPr>
            <w:tcW w:w="6868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เดนมาร์ก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ยูโร</w:t>
            </w:r>
          </w:p>
        </w:tc>
        <w:tc>
          <w:tcPr>
            <w:tcW w:w="6868" w:type="dxa"/>
          </w:tcPr>
          <w:p w:rsidR="00D241EC" w:rsidRPr="006C3D1F" w:rsidRDefault="00CC7492" w:rsidP="00CC7492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ประเทศโซนยุโรปในยุโรปตะวันออก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โครนนอร์เวย์</w:t>
            </w:r>
          </w:p>
        </w:tc>
        <w:tc>
          <w:tcPr>
            <w:tcW w:w="6868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นอร์เวย์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ปอนด์สเตอร์ลิง</w:t>
            </w:r>
          </w:p>
        </w:tc>
        <w:tc>
          <w:tcPr>
            <w:tcW w:w="6868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สหราชอาณาจักร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โครนาสวีเดน</w:t>
            </w:r>
          </w:p>
        </w:tc>
        <w:tc>
          <w:tcPr>
            <w:tcW w:w="6868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สวีเดน</w:t>
            </w:r>
          </w:p>
        </w:tc>
      </w:tr>
      <w:tr w:rsidR="00D241EC" w:rsidRPr="006C3D1F" w:rsidTr="000217E6">
        <w:trPr>
          <w:jc w:val="center"/>
        </w:trPr>
        <w:tc>
          <w:tcPr>
            <w:tcW w:w="2161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ฟรังก์สวิส</w:t>
            </w:r>
          </w:p>
        </w:tc>
        <w:tc>
          <w:tcPr>
            <w:tcW w:w="6868" w:type="dxa"/>
          </w:tcPr>
          <w:p w:rsidR="00D241EC" w:rsidRPr="006C3D1F" w:rsidRDefault="00D241EC" w:rsidP="000217E6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สวิตเซอร์แลนด์</w:t>
            </w:r>
          </w:p>
        </w:tc>
      </w:tr>
    </w:tbl>
    <w:p w:rsidR="00566380" w:rsidRPr="006C3D1F" w:rsidRDefault="00566380" w:rsidP="00276746">
      <w:pPr>
        <w:keepNext/>
        <w:keepLines/>
        <w:spacing w:before="360" w:after="120"/>
        <w:rPr>
          <w:rFonts w:ascii="Tahoma" w:hAnsi="Tahoma" w:cs="Tahoma"/>
          <w:b/>
          <w:bCs/>
          <w:sz w:val="24"/>
          <w:szCs w:val="24"/>
        </w:rPr>
      </w:pP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lastRenderedPageBreak/>
        <w:t>ตารางสกุลเงินสำหรับการขายทางอ้อมใน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EU/EFTA: Enterprise (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ทางอ้อมเท่านั้น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) 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และ</w:t>
      </w:r>
      <w:r w:rsidRPr="006C3D1F">
        <w:rPr>
          <w:rFonts w:ascii="Tahoma" w:hAnsi="Tahoma" w:cs="Tahoma"/>
          <w:b/>
          <w:bCs/>
          <w:sz w:val="24"/>
          <w:szCs w:val="24"/>
        </w:rPr>
        <w:t xml:space="preserve"> Enterprise Subscription (</w:t>
      </w:r>
      <w:r w:rsidRPr="006C3D1F">
        <w:rPr>
          <w:rFonts w:ascii="Tahoma" w:hAnsi="Tahoma" w:cs="Tahoma"/>
          <w:b/>
          <w:bCs/>
          <w:sz w:val="24"/>
          <w:szCs w:val="24"/>
          <w:cs/>
          <w:lang w:bidi="th-TH"/>
        </w:rPr>
        <w:t>ทางอ้อมเท่านั้น</w:t>
      </w:r>
      <w:r w:rsidRPr="006C3D1F">
        <w:rPr>
          <w:rFonts w:ascii="Tahoma" w:hAnsi="Tahoma" w:cs="Tahoma"/>
          <w:b/>
          <w:bCs/>
          <w:sz w:val="24"/>
          <w:szCs w:val="24"/>
        </w:rPr>
        <w:t>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6C3D1F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6C3D1F" w:rsidRDefault="00566380" w:rsidP="00276746">
            <w:pPr>
              <w:keepNext/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สกุลเงิน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6C3D1F" w:rsidRDefault="00566380" w:rsidP="000217E6">
            <w:pPr>
              <w:spacing w:before="120" w:after="120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6C3D1F">
              <w:rPr>
                <w:rFonts w:ascii="Tahoma" w:hAnsi="Tahoma" w:cs="Tahoma"/>
                <w:b/>
                <w:bCs/>
                <w:color w:val="FFFFFF" w:themeColor="background1"/>
                <w:cs/>
                <w:lang w:bidi="th-TH"/>
              </w:rPr>
              <w:t>ตำแหน่งที่ตั้งที่รับสกุลเงิน</w:t>
            </w:r>
          </w:p>
        </w:tc>
      </w:tr>
      <w:tr w:rsidR="00566380" w:rsidRPr="006C3D1F" w:rsidTr="000217E6">
        <w:trPr>
          <w:jc w:val="center"/>
        </w:trPr>
        <w:tc>
          <w:tcPr>
            <w:tcW w:w="2161" w:type="dxa"/>
          </w:tcPr>
          <w:p w:rsidR="00566380" w:rsidRPr="006C3D1F" w:rsidRDefault="00566380" w:rsidP="00566380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ยูโร</w:t>
            </w:r>
          </w:p>
        </w:tc>
        <w:tc>
          <w:tcPr>
            <w:tcW w:w="6868" w:type="dxa"/>
          </w:tcPr>
          <w:p w:rsidR="00566380" w:rsidRPr="006C3D1F" w:rsidRDefault="00566380" w:rsidP="00566380">
            <w:pPr>
              <w:rPr>
                <w:rFonts w:ascii="Tahoma" w:hAnsi="Tahoma" w:cs="Tahoma"/>
              </w:rPr>
            </w:pPr>
            <w:r w:rsidRPr="006C3D1F">
              <w:rPr>
                <w:rFonts w:ascii="Tahoma" w:hAnsi="Tahoma" w:cs="Tahoma"/>
                <w:cs/>
                <w:lang w:bidi="th-TH"/>
              </w:rPr>
              <w:t>ยุโรปกลางและยุโรปตะวันออก</w:t>
            </w:r>
            <w:r w:rsidRPr="006C3D1F">
              <w:rPr>
                <w:rFonts w:ascii="Tahoma" w:hAnsi="Tahoma" w:cs="Tahoma"/>
              </w:rPr>
              <w:t xml:space="preserve"> (</w:t>
            </w:r>
            <w:r w:rsidRPr="006C3D1F">
              <w:rPr>
                <w:rFonts w:ascii="Tahoma" w:hAnsi="Tahoma" w:cs="Tahoma"/>
                <w:cs/>
                <w:lang w:bidi="th-TH"/>
              </w:rPr>
              <w:t>เฉพาะในบัลแกเรีย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ไซปรัส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สาธารณรัฐเช็ก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เอสโตเนีย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ฮังการี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ลัตเวีย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ลิทัวเนีย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มอลตา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โปแลนด์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โรมาเนีย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สโลวะเกีย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สโลวีเนีย</w:t>
            </w:r>
            <w:r w:rsidRPr="006C3D1F">
              <w:rPr>
                <w:rFonts w:ascii="Tahoma" w:hAnsi="Tahoma" w:cs="Tahoma"/>
              </w:rPr>
              <w:t xml:space="preserve"> </w:t>
            </w:r>
            <w:r w:rsidRPr="006C3D1F">
              <w:rPr>
                <w:rFonts w:ascii="Tahoma" w:hAnsi="Tahoma" w:cs="Tahoma"/>
                <w:cs/>
                <w:lang w:bidi="th-TH"/>
              </w:rPr>
              <w:t>โครเอเชีย</w:t>
            </w:r>
            <w:r w:rsidRPr="006C3D1F">
              <w:rPr>
                <w:rFonts w:ascii="Tahoma" w:hAnsi="Tahoma" w:cs="Tahoma"/>
              </w:rPr>
              <w:t>)</w:t>
            </w:r>
          </w:p>
        </w:tc>
      </w:tr>
    </w:tbl>
    <w:p w:rsidR="00D241EC" w:rsidRPr="006C3D1F" w:rsidRDefault="00D241EC" w:rsidP="00502F9F">
      <w:pPr>
        <w:rPr>
          <w:rFonts w:ascii="Tahoma" w:hAnsi="Tahoma" w:cs="Tahoma"/>
        </w:rPr>
      </w:pPr>
    </w:p>
    <w:p w:rsidR="003A6F7C" w:rsidRPr="006C3D1F" w:rsidRDefault="003A6F7C" w:rsidP="00502F9F">
      <w:pPr>
        <w:rPr>
          <w:rFonts w:ascii="Tahoma" w:hAnsi="Tahoma" w:cs="Tahoma"/>
        </w:rPr>
      </w:pPr>
    </w:p>
    <w:sectPr w:rsidR="003A6F7C" w:rsidRPr="006C3D1F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E21" w:rsidRDefault="00407E21" w:rsidP="00F47A3B">
      <w:pPr>
        <w:spacing w:before="0"/>
      </w:pPr>
      <w:r>
        <w:separator/>
      </w:r>
    </w:p>
  </w:endnote>
  <w:endnote w:type="continuationSeparator" w:id="0">
    <w:p w:rsidR="00407E21" w:rsidRDefault="00407E21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8B3" w:rsidRDefault="001748B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1748B3" w:rsidRPr="001748B3" w:rsidTr="00D00F47">
      <w:trPr>
        <w:jc w:val="center"/>
      </w:trPr>
      <w:tc>
        <w:tcPr>
          <w:tcW w:w="4621" w:type="dxa"/>
          <w:shd w:val="clear" w:color="auto" w:fill="auto"/>
        </w:tcPr>
        <w:p w:rsidR="001748B3" w:rsidRPr="001748B3" w:rsidRDefault="001748B3" w:rsidP="001748B3">
          <w:pPr>
            <w:pStyle w:val="Footer"/>
            <w:rPr>
              <w:sz w:val="16"/>
              <w:szCs w:val="16"/>
            </w:rPr>
          </w:pPr>
          <w:r w:rsidRPr="001748B3">
            <w:rPr>
              <w:sz w:val="16"/>
              <w:szCs w:val="16"/>
            </w:rPr>
            <w:t>ProgramCurrencyTable(WW)(THA)(May2014)</w:t>
          </w:r>
        </w:p>
      </w:tc>
      <w:tc>
        <w:tcPr>
          <w:tcW w:w="4622" w:type="dxa"/>
          <w:shd w:val="clear" w:color="auto" w:fill="auto"/>
        </w:tcPr>
        <w:p w:rsidR="001748B3" w:rsidRPr="001748B3" w:rsidRDefault="001748B3" w:rsidP="001748B3">
          <w:pPr>
            <w:jc w:val="right"/>
            <w:rPr>
              <w:sz w:val="16"/>
              <w:szCs w:val="16"/>
            </w:rPr>
          </w:pPr>
          <w:r w:rsidRPr="001748B3">
            <w:rPr>
              <w:sz w:val="16"/>
              <w:szCs w:val="16"/>
            </w:rPr>
            <w:t xml:space="preserve">Page </w:t>
          </w:r>
          <w:r w:rsidRPr="001748B3">
            <w:rPr>
              <w:sz w:val="16"/>
              <w:szCs w:val="16"/>
            </w:rPr>
            <w:fldChar w:fldCharType="begin"/>
          </w:r>
          <w:r w:rsidRPr="001748B3">
            <w:rPr>
              <w:sz w:val="16"/>
              <w:szCs w:val="16"/>
            </w:rPr>
            <w:instrText xml:space="preserve"> PAGE  \* MERGEFORMAT </w:instrText>
          </w:r>
          <w:r w:rsidRPr="001748B3">
            <w:rPr>
              <w:sz w:val="16"/>
              <w:szCs w:val="16"/>
            </w:rPr>
            <w:fldChar w:fldCharType="separate"/>
          </w:r>
          <w:r w:rsidR="00136427">
            <w:rPr>
              <w:noProof/>
              <w:sz w:val="16"/>
              <w:szCs w:val="16"/>
            </w:rPr>
            <w:t>1</w:t>
          </w:r>
          <w:r w:rsidRPr="001748B3">
            <w:rPr>
              <w:sz w:val="16"/>
              <w:szCs w:val="16"/>
            </w:rPr>
            <w:fldChar w:fldCharType="end"/>
          </w:r>
          <w:r w:rsidRPr="001748B3">
            <w:rPr>
              <w:sz w:val="16"/>
              <w:szCs w:val="16"/>
            </w:rPr>
            <w:t xml:space="preserve"> of </w:t>
          </w:r>
          <w:r w:rsidRPr="001748B3">
            <w:rPr>
              <w:sz w:val="16"/>
              <w:szCs w:val="16"/>
            </w:rPr>
            <w:fldChar w:fldCharType="begin"/>
          </w:r>
          <w:r w:rsidRPr="001748B3">
            <w:rPr>
              <w:sz w:val="16"/>
              <w:szCs w:val="16"/>
            </w:rPr>
            <w:instrText xml:space="preserve"> NUMPAGES  \* MERGEFORMAT </w:instrText>
          </w:r>
          <w:r w:rsidRPr="001748B3">
            <w:rPr>
              <w:sz w:val="16"/>
              <w:szCs w:val="16"/>
            </w:rPr>
            <w:fldChar w:fldCharType="separate"/>
          </w:r>
          <w:r w:rsidR="00136427">
            <w:rPr>
              <w:noProof/>
              <w:sz w:val="16"/>
              <w:szCs w:val="16"/>
            </w:rPr>
            <w:t>2</w:t>
          </w:r>
          <w:r w:rsidRPr="001748B3">
            <w:rPr>
              <w:sz w:val="16"/>
              <w:szCs w:val="16"/>
            </w:rPr>
            <w:fldChar w:fldCharType="end"/>
          </w:r>
        </w:p>
        <w:p w:rsidR="001748B3" w:rsidRPr="001748B3" w:rsidRDefault="001748B3" w:rsidP="001748B3">
          <w:pPr>
            <w:jc w:val="right"/>
            <w:rPr>
              <w:sz w:val="16"/>
              <w:szCs w:val="16"/>
            </w:rPr>
          </w:pPr>
        </w:p>
      </w:tc>
    </w:tr>
  </w:tbl>
  <w:p w:rsidR="001748B3" w:rsidRPr="001748B3" w:rsidRDefault="001748B3" w:rsidP="001748B3">
    <w:pPr>
      <w:pStyle w:val="Footer"/>
      <w:rPr>
        <w:sz w:val="16"/>
      </w:rPr>
    </w:pPr>
  </w:p>
  <w:p w:rsidR="002F26CF" w:rsidRPr="001748B3" w:rsidRDefault="002F26CF" w:rsidP="001748B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8B3" w:rsidRDefault="001748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E21" w:rsidRDefault="00407E21" w:rsidP="00F47A3B">
      <w:pPr>
        <w:spacing w:before="0"/>
      </w:pPr>
      <w:r>
        <w:separator/>
      </w:r>
    </w:p>
  </w:footnote>
  <w:footnote w:type="continuationSeparator" w:id="0">
    <w:p w:rsidR="00407E21" w:rsidRDefault="00407E21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13642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50" type="#_x0000_t75" style="position:absolute;left:0;text-align:left;margin-left:0;margin-top:0;width:451.2pt;height:254.35pt;z-index:-251655168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A3B" w:rsidRDefault="00136427" w:rsidP="00502F9F">
    <w:pPr>
      <w:pStyle w:val="Header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1" type="#_x0000_t75" style="position:absolute;left:0;text-align:left;margin-left:0;margin-top:0;width:451.2pt;height:254.35pt;z-index:-251654144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0217C5">
      <w:rPr>
        <w:noProof/>
        <w:lang w:eastAsia="en-US"/>
      </w:rPr>
      <w:drawing>
        <wp:anchor distT="0" distB="0" distL="114300" distR="114300" simplePos="0" relativeHeight="251664384" behindDoc="0" locked="0" layoutInCell="1" allowOverlap="1" wp14:anchorId="54049C14" wp14:editId="4FE4861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217C5">
      <w:rPr>
        <w:noProof/>
        <w:lang w:eastAsia="en-US"/>
      </w:rPr>
      <w:drawing>
        <wp:anchor distT="0" distB="0" distL="114300" distR="114300" simplePos="0" relativeHeight="251657216" behindDoc="0" locked="0" layoutInCell="1" allowOverlap="1" wp14:anchorId="0CF88CCD" wp14:editId="363E5E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217C5">
      <w:rPr>
        <w:noProof/>
        <w:lang w:eastAsia="en-US"/>
      </w:rPr>
      <w:drawing>
        <wp:inline distT="0" distB="0" distL="0" distR="0" wp14:anchorId="11C1FFC4" wp14:editId="5A7DC689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13642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49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F47A3B"/>
    <w:rsid w:val="000217C5"/>
    <w:rsid w:val="000F3C88"/>
    <w:rsid w:val="00127935"/>
    <w:rsid w:val="00136427"/>
    <w:rsid w:val="001466FB"/>
    <w:rsid w:val="00154A52"/>
    <w:rsid w:val="00171EC3"/>
    <w:rsid w:val="00173A65"/>
    <w:rsid w:val="001748B3"/>
    <w:rsid w:val="001A2430"/>
    <w:rsid w:val="00211BE6"/>
    <w:rsid w:val="00230A15"/>
    <w:rsid w:val="00236B5D"/>
    <w:rsid w:val="00265BCD"/>
    <w:rsid w:val="00276746"/>
    <w:rsid w:val="00295738"/>
    <w:rsid w:val="002E7E95"/>
    <w:rsid w:val="002F26CF"/>
    <w:rsid w:val="003320BE"/>
    <w:rsid w:val="00353BDB"/>
    <w:rsid w:val="003615B9"/>
    <w:rsid w:val="00367ACC"/>
    <w:rsid w:val="003A347B"/>
    <w:rsid w:val="003A6F7C"/>
    <w:rsid w:val="003C5353"/>
    <w:rsid w:val="003D4F3C"/>
    <w:rsid w:val="00407E21"/>
    <w:rsid w:val="0041614F"/>
    <w:rsid w:val="00424178"/>
    <w:rsid w:val="00443661"/>
    <w:rsid w:val="004975E3"/>
    <w:rsid w:val="00502F9F"/>
    <w:rsid w:val="00566380"/>
    <w:rsid w:val="0057356E"/>
    <w:rsid w:val="00575132"/>
    <w:rsid w:val="005B6BDE"/>
    <w:rsid w:val="005C0708"/>
    <w:rsid w:val="00601731"/>
    <w:rsid w:val="006024A3"/>
    <w:rsid w:val="00620BAB"/>
    <w:rsid w:val="00640BBF"/>
    <w:rsid w:val="00671907"/>
    <w:rsid w:val="00696909"/>
    <w:rsid w:val="00696913"/>
    <w:rsid w:val="006C3D1F"/>
    <w:rsid w:val="0074795E"/>
    <w:rsid w:val="00780C11"/>
    <w:rsid w:val="00782E5A"/>
    <w:rsid w:val="007B442D"/>
    <w:rsid w:val="007C4EF8"/>
    <w:rsid w:val="00840479"/>
    <w:rsid w:val="00862FE3"/>
    <w:rsid w:val="008757D1"/>
    <w:rsid w:val="008A5BE0"/>
    <w:rsid w:val="00921127"/>
    <w:rsid w:val="00940CC9"/>
    <w:rsid w:val="009921AA"/>
    <w:rsid w:val="00A7512D"/>
    <w:rsid w:val="00A76CC3"/>
    <w:rsid w:val="00B17A66"/>
    <w:rsid w:val="00B40DDE"/>
    <w:rsid w:val="00B5128D"/>
    <w:rsid w:val="00B8430A"/>
    <w:rsid w:val="00BA48B1"/>
    <w:rsid w:val="00C175E3"/>
    <w:rsid w:val="00C926B9"/>
    <w:rsid w:val="00C95617"/>
    <w:rsid w:val="00CA2405"/>
    <w:rsid w:val="00CC7492"/>
    <w:rsid w:val="00CE1681"/>
    <w:rsid w:val="00CE7C35"/>
    <w:rsid w:val="00D22001"/>
    <w:rsid w:val="00D241EC"/>
    <w:rsid w:val="00D31D4E"/>
    <w:rsid w:val="00D55BF9"/>
    <w:rsid w:val="00D65F6A"/>
    <w:rsid w:val="00DE38F4"/>
    <w:rsid w:val="00E609F5"/>
    <w:rsid w:val="00E8472D"/>
    <w:rsid w:val="00EA4A17"/>
    <w:rsid w:val="00F01CCF"/>
    <w:rsid w:val="00F15936"/>
    <w:rsid w:val="00F46710"/>
    <w:rsid w:val="00F47A3B"/>
    <w:rsid w:val="00F52B50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0919A822-EAAA-45D0-BFA6-786F06F33E44}"/>
  <w:documentProtection w:edit="forms" w:enforcement="true" w:cryptProviderType="rsaFull" w:cryptAlgorithmClass="hash" w:cryptAlgorithmType="typeAny" w:cryptAlgorithmSid="4" w:cryptSpinCount="50000" w:hash="3xr4f4jmxmiCeC4Gk9hkVOyuPrk=" w:salt="6YEB66Lo8vt/kag1oTwyM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Arial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F47A3B"/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F47A3B"/>
  </w:style>
  <w:style w:type="table" w:styleId="TableGrid">
    <w:name w:val="Table Grid"/>
    <w:basedOn w:val="TableNormal"/>
    <w:uiPriority w:val="59"/>
    <w:rsid w:val="00F47A3B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</w:style>
  <w:style w:type="character" w:customStyle="1" w:styleId="LogoportDoNotTranslate">
    <w:name w:val="LogoportDoNotTranslate"/>
    <w:basedOn w:val="DefaultParagraphFont"/>
    <w:rsid w:val="00C95617"/>
    <w:rPr>
      <w:rFonts w:ascii="Courier New" w:hAnsi="Courier New" w:cs="Courier New"/>
      <w:b w:val="0"/>
      <w:color w:val="808080"/>
      <w:sz w:val="18"/>
      <w:szCs w:val="36"/>
    </w:rPr>
  </w:style>
  <w:style w:type="character" w:customStyle="1" w:styleId="LogoportMarkup">
    <w:name w:val="LogoportMarkup"/>
    <w:basedOn w:val="DefaultParagraphFont"/>
    <w:rsid w:val="00C95617"/>
    <w:rPr>
      <w:rFonts w:ascii="Courier New" w:hAnsi="Courier New" w:cs="Courier New"/>
      <w:b w:val="0"/>
      <w:color w:val="FF000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22</cp:revision>
  <cp:lastPrinted>2014-05-20T18:14:00Z</cp:lastPrinted>
  <dcterms:created xsi:type="dcterms:W3CDTF">2014-04-30T17:13:00Z</dcterms:created>
  <dcterms:modified xsi:type="dcterms:W3CDTF">2014-06-19T22:06:00Z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