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default" r:id="rId10"/>
          <w:footerReference w:type="default" r:id="rId11"/>
          <w:headerReference w:type="first" r:id="rId12"/>
          <w:footerReference w:type="first" r:id="rId13"/>
          <w:pgSz w:w="11907" w:h="16839" w:code="9"/>
          <w:pgMar w:top="1440" w:right="1440" w:bottom="1440" w:left="1440" w:header="576" w:footer="432" w:gutter="0"/>
          <w:cols w:space="720"/>
          <w:titlePg/>
          <w:docGrid w:linePitch="360"/>
        </w:sectPr>
      </w:pPr>
      <w:r>
        <w:rPr>
          <w:sz w:val="36"/>
          <w:szCs w:val="36"/>
        </w:rPr>
        <w:t>Tiešsaistes pakalpojumu papildu noteikumi un nosacījumi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Lai šis dokuments būtu derīgs, tas ir jāpievieno parakstu veidlapai.</w:t>
            </w:r>
          </w:p>
        </w:tc>
      </w:tr>
    </w:tbl>
    <w:p w14:paraId="77F1CC3D" w14:textId="1CB02A01" w:rsidR="00F64D0F" w:rsidRPr="00910467" w:rsidRDefault="00F64D0F" w:rsidP="003D6AC0">
      <w:pPr>
        <w:spacing w:before="360"/>
      </w:pPr>
      <w:r>
        <w:t>Ja Iestāde pasūta Tiešsaistes pakalpojumus, šie Tiešsaistes pakalpojumu papildu noteikumi un nosacījumi (</w:t>
      </w:r>
      <w:r w:rsidR="00D14A2E">
        <w:t>„</w:t>
      </w:r>
      <w:r>
        <w:t>Papildu noteikumi”) atjaunina attiecīgi Līguma un/vai reģistrācijas noteikumus.</w:t>
      </w:r>
    </w:p>
    <w:p w14:paraId="77F1CC3E" w14:textId="77777777" w:rsidR="00F64D0F" w:rsidRPr="00910467" w:rsidRDefault="00F64D0F" w:rsidP="003D6AC0">
      <w:pPr>
        <w:pStyle w:val="Heading1"/>
      </w:pPr>
      <w:r>
        <w:t>1.</w:t>
      </w:r>
      <w:r>
        <w:tab/>
        <w:t>Definīcijas.</w:t>
      </w:r>
    </w:p>
    <w:p w14:paraId="77F1CC3F" w14:textId="3488D2D5" w:rsidR="00F64D0F" w:rsidRPr="00910467" w:rsidRDefault="00F64D0F" w:rsidP="003D6AC0">
      <w:r>
        <w:t>Terminiem, kas tiek rakstīti ar lielajiem burtiem, bet nav šeit definēti, ir Līgumā un/vai Reģistrācijā piešķirtā nozīme.</w:t>
      </w:r>
      <w:r w:rsidR="00D14A2E">
        <w:t xml:space="preserve"> </w:t>
      </w:r>
      <w:r>
        <w:t>Tālāk sniegtās definīcijas aizstāj vai papildina Līgumā un/vai Reģistrācijā esošās definīcijas, ja piemērojams.</w:t>
      </w:r>
    </w:p>
    <w:p w14:paraId="77F1CC40" w14:textId="46F2C424" w:rsidR="00F64D0F" w:rsidRPr="00910467" w:rsidRDefault="00D14A2E" w:rsidP="003D6AC0">
      <w:r>
        <w:t>„</w:t>
      </w:r>
      <w:r w:rsidR="00F64D0F">
        <w:t>Iestādes dati” ir visi dati, tostarp visi teksta, skaņas, programmatūras vai attēlu faili, kurus korporācijai Microsoft nodrošina Iestāde vai kas tiek nodrošināti Iestādes vārdā, Iestādei izmantojot Tiešsaistes pakalpojumus.</w:t>
      </w:r>
    </w:p>
    <w:p w14:paraId="77F1CC41" w14:textId="1B3E94FA" w:rsidR="00F64D0F" w:rsidRPr="00910467" w:rsidRDefault="00D14A2E" w:rsidP="003D6AC0">
      <w:r>
        <w:t>„</w:t>
      </w:r>
      <w:r w:rsidR="00F64D0F">
        <w:t xml:space="preserve">Tiešsaistes pakalpojumi” ir Microsoft viesotie pakalpojumi, kas ir norādīti Produktu nosacījumu sadaļā </w:t>
      </w:r>
      <w:r w:rsidR="00F9781C">
        <w:t>„</w:t>
      </w:r>
      <w:r w:rsidR="00F64D0F">
        <w:t>Tiešsaistes pakalpojumi”.</w:t>
      </w:r>
    </w:p>
    <w:p w14:paraId="77F1CC42" w14:textId="5B45FDF8" w:rsidR="00F64D0F" w:rsidRPr="00910467" w:rsidRDefault="00D14A2E" w:rsidP="003D6AC0">
      <w:r>
        <w:t>„</w:t>
      </w:r>
      <w:r w:rsidR="00F64D0F">
        <w:t>Produkts” ir visi produkti, kas ir norādīti Produktu nosacījumos, piemēram, visa programmatūra, Tiešsaistes pakalpojumi un citi internetā pieejamie pakalpojumi, tostarp pirmsizlaides vai beta versijas.</w:t>
      </w:r>
      <w:r>
        <w:t xml:space="preserve"> </w:t>
      </w:r>
      <w:r w:rsidR="00F64D0F">
        <w:t>Atkarībā no reģiona produkti var būt pieejami atšķirīgās programmās.</w:t>
      </w:r>
    </w:p>
    <w:p w14:paraId="77F1CC43" w14:textId="01DDBAC0" w:rsidR="00F64D0F" w:rsidRPr="00910467" w:rsidRDefault="00D14A2E" w:rsidP="003D6AC0">
      <w:r>
        <w:t>„</w:t>
      </w:r>
      <w:r w:rsidR="00F64D0F">
        <w:t>Līgums par pakalpojumu līmeni” ir dokuments, kurā ir norādīti tie standarti, kurus korporācija Microsoft piekrīt ievērot un saskaņā ar kuriem tā nosaka pakalpojumu līmeni Tiešsaistes pakalpojumiem.</w:t>
      </w:r>
    </w:p>
    <w:p w14:paraId="77F1CC44" w14:textId="11E031EA" w:rsidR="00F64D0F" w:rsidRPr="00910467" w:rsidRDefault="00F64D0F" w:rsidP="00D25D25">
      <w:pPr>
        <w:pStyle w:val="Heading1"/>
      </w:pPr>
      <w:r>
        <w:t>2.</w:t>
      </w:r>
      <w:r>
        <w:tab/>
        <w:t>Tiešsaistes pakalpojumu ierobežotā garantija.</w:t>
      </w:r>
    </w:p>
    <w:p w14:paraId="77F1CC45" w14:textId="186BBB6F" w:rsidR="00F64D0F" w:rsidRPr="00910467" w:rsidRDefault="00F64D0F" w:rsidP="003D6AC0">
      <w:r>
        <w:t>Korporācija Microsoft garantē, ka Tiešsaistes pakalpojumi darbosies saskaņā ar piemērojamo Līgumu par pakalpojumu līmeni.</w:t>
      </w:r>
      <w:r w:rsidR="00D14A2E">
        <w:t xml:space="preserve"> </w:t>
      </w:r>
      <w:r>
        <w:t>Šī ierobežotā garantija ir spēkā laikā, kamēr Iestāde lieto Tiešsaistes pakalpojumus, saskaņā ar paziņošanas prasībām, kas ir noteiktas piemērojamajā Līgumā par pakalpojumu līmeni.</w:t>
      </w:r>
    </w:p>
    <w:p w14:paraId="77F1CC46" w14:textId="0E4C2DA7" w:rsidR="00F64D0F" w:rsidRPr="00910467" w:rsidRDefault="00F64D0F" w:rsidP="003D6AC0">
      <w:r>
        <w:t>Ja korporācija Microsoft nepilda šīs ierobežotās garantijas nosacījumus un Iestāde informē korporāciju Microsoft garantijas perioda laikā, Microsoft sniegs zaudējumu atlīdzību, kas norādīta attiecīgā Tiešsaistes pakalpojuma Līgumā par pakalpojumu līmeni.</w:t>
      </w:r>
      <w:r w:rsidR="00D14A2E">
        <w:t xml:space="preserve"> </w:t>
      </w:r>
      <w:r>
        <w:t>Iestādei par ierobežotās garantijas pārkāpumu ir pieejama vienīgi šī un piemērojamos tiesību aktos noteiktā zaudējumu atlīdzība.</w:t>
      </w:r>
    </w:p>
    <w:p w14:paraId="77F1CC48" w14:textId="5B7A9213" w:rsidR="00F64D0F" w:rsidRPr="00910467" w:rsidRDefault="00F64D0F" w:rsidP="000C6335">
      <w:r>
        <w:t>Uz šo ierobežoto garantiju attiecas šādi ierobežojumi:</w:t>
      </w:r>
    </w:p>
    <w:p w14:paraId="77F1CC49" w14:textId="22830C91" w:rsidR="00F64D0F" w:rsidRPr="00910467" w:rsidRDefault="00F64D0F" w:rsidP="000C6335">
      <w:pPr>
        <w:pStyle w:val="ListParagraph"/>
        <w:numPr>
          <w:ilvl w:val="0"/>
          <w:numId w:val="32"/>
        </w:numPr>
      </w:pPr>
      <w:r>
        <w:t>ierobežotā garantija neattiecas uz problēmām, ko izraisījis negadījums, nepareiza lietošana vai izmantošana veidā, kas neatbilst attiecīgi Līguma un/vai Reģistrācijas nosacījumiem vai Produktu lietošanas noteikumiem, vai gadījumiem, ko korporācija Microsoft nevar ietekmēt ar saprātīgiem līdzekļiem;</w:t>
      </w:r>
    </w:p>
    <w:p w14:paraId="77F1CC4A" w14:textId="77777777" w:rsidR="00F64D0F" w:rsidRPr="00910467" w:rsidRDefault="00F64D0F" w:rsidP="000C6335">
      <w:pPr>
        <w:pStyle w:val="ListParagraph"/>
        <w:numPr>
          <w:ilvl w:val="0"/>
          <w:numId w:val="32"/>
        </w:numPr>
      </w:pPr>
      <w:r>
        <w:t xml:space="preserve">ierobežotā garantija neattiecas uz to Produktu komponentiem, ko Iestādei ir atļauts tālākizplatīt; </w:t>
      </w:r>
    </w:p>
    <w:p w14:paraId="77F1CC4B" w14:textId="77777777" w:rsidR="00F64D0F" w:rsidRPr="00910467" w:rsidRDefault="00F64D0F" w:rsidP="000C6335">
      <w:pPr>
        <w:pStyle w:val="ListParagraph"/>
        <w:numPr>
          <w:ilvl w:val="0"/>
          <w:numId w:val="32"/>
        </w:numPr>
      </w:pPr>
      <w:r>
        <w:t>ierobežotā garantija neattiecas uz bezmaksas, izmēģinājumversijas, pirmsizlaides vai beta versijas produktiem; un</w:t>
      </w:r>
    </w:p>
    <w:p w14:paraId="77F1CC4C" w14:textId="77777777" w:rsidR="00F64D0F" w:rsidRPr="00910467" w:rsidRDefault="00F64D0F" w:rsidP="000C6335">
      <w:pPr>
        <w:pStyle w:val="ListParagraph"/>
        <w:numPr>
          <w:ilvl w:val="0"/>
          <w:numId w:val="32"/>
        </w:numPr>
      </w:pPr>
      <w:r>
        <w:t>ierobežotā garantija neattiecas uz problēmām, ko izraisījusi neatbilstība sistēmas minimālajām prasībām.</w:t>
      </w:r>
    </w:p>
    <w:p w14:paraId="77F1CC4D" w14:textId="036A84E9" w:rsidR="00F64D0F" w:rsidRPr="00910467" w:rsidRDefault="00F64D0F" w:rsidP="003D6AC0">
      <w:pPr>
        <w:rPr>
          <w:b/>
          <w:bCs/>
        </w:rPr>
      </w:pPr>
      <w:r>
        <w:rPr>
          <w:b/>
          <w:bCs/>
        </w:rPr>
        <w:t xml:space="preserve">PAPILDUS ŠAI IEROBEŽOTAJAI GARANTIJAI KORPORĀCIJA MICROSOFT NESNIEDZ NEKĀDAS CITAS TIEŠAS VAI NETIEŠAS GARANTIJAS VAI NEPIEDĀVĀ CITUS NOSACĪJUMUS. KORPORĀCIJA MICROSOFT ATSAKĀS SNIEGT JEBKĀDUS NETIEŠUS APLIECINĀJUMUS, GARANTIJAS VAI NOSACĪJUMUS, TOSTARP GARANTIJAS PAR </w:t>
      </w:r>
      <w:r>
        <w:rPr>
          <w:b/>
          <w:bCs/>
        </w:rPr>
        <w:lastRenderedPageBreak/>
        <w:t>PIEMĒROTĪBU PĀRDOŠANAI, PIEMĒROTĪBU KONKRĒTAM MĒRĶIM, APMIERINOŠU KVALITĀTI, ĪPAŠUMA TIESĪBĀM VAI TIESĪBU NEPĀRKĀPŠANU.</w:t>
      </w:r>
      <w:r w:rsidR="00D14A2E">
        <w:rPr>
          <w:b/>
          <w:bCs/>
        </w:rPr>
        <w:t xml:space="preserve"> </w:t>
      </w:r>
      <w:r>
        <w:rPr>
          <w:b/>
          <w:bCs/>
        </w:rPr>
        <w:t>ŠĪ ATTEIKŠANĀS IR SPĒKĀ, JA VIEN TO NEAIZLIEDZ PIEMĒROJAMIE TIESĪBU AKTI.</w:t>
      </w:r>
      <w:r w:rsidR="00D14A2E">
        <w:rPr>
          <w:b/>
          <w:bCs/>
        </w:rPr>
        <w:t xml:space="preserve"> </w:t>
      </w:r>
      <w:r>
        <w:rPr>
          <w:b/>
          <w:bCs/>
        </w:rPr>
        <w:t>Visas garantijas, galvojumi vai nosacījumi, no kuriem nevar atteikties saskaņā ar likumu, ir spēkā vienu gadu, sākot ar ierobežotās garantijas sākuma datumu.</w:t>
      </w:r>
    </w:p>
    <w:p w14:paraId="77F1CC4E" w14:textId="77777777" w:rsidR="00F64D0F" w:rsidRPr="00910467" w:rsidRDefault="00F64D0F" w:rsidP="003D6AC0">
      <w:pPr>
        <w:pStyle w:val="Heading1"/>
      </w:pPr>
      <w:r>
        <w:t>3.</w:t>
      </w:r>
      <w:r>
        <w:tab/>
        <w:t>Iestādes piekrišana aizstāvēt.</w:t>
      </w:r>
    </w:p>
    <w:p w14:paraId="77F1CC4F" w14:textId="77777777" w:rsidR="00F64D0F" w:rsidRPr="008658A5" w:rsidRDefault="00F64D0F" w:rsidP="003D6AC0">
      <w:pPr>
        <w:rPr>
          <w:spacing w:val="-2"/>
        </w:rPr>
      </w:pPr>
      <w:r w:rsidRPr="008658A5">
        <w:rPr>
          <w:spacing w:val="-2"/>
        </w:rPr>
        <w:t>Iestādei ir jāaizsargā korporācija Microsoft pret jebkādām nesaistīto trešo personu prasībām saistībā ar:</w:t>
      </w:r>
    </w:p>
    <w:p w14:paraId="77F1CC50" w14:textId="0635DD87" w:rsidR="00F64D0F" w:rsidRPr="00910467" w:rsidRDefault="00F64D0F" w:rsidP="003D6AC0">
      <w:pPr>
        <w:pStyle w:val="ListParagraph"/>
        <w:numPr>
          <w:ilvl w:val="0"/>
          <w:numId w:val="2"/>
        </w:numPr>
        <w:ind w:left="1080"/>
      </w:pPr>
      <w:r>
        <w:t>jebkādiem Iestādes datiem vai tādu programmatūru, ko nav izstrādājusi korporācija Microsoft, bet ko Microsoft vieso Iestādes vārdā, kas pārkāpj trešās personas patentu, autortiesības vai preču zīmi, vai prettiesiski izmanto tās Komercnoslēpumu; vai</w:t>
      </w:r>
    </w:p>
    <w:p w14:paraId="77F1CC51" w14:textId="7ABF05C8" w:rsidR="00F64D0F" w:rsidRPr="00910467" w:rsidRDefault="00F64D0F" w:rsidP="003D6AC0">
      <w:pPr>
        <w:pStyle w:val="ListParagraph"/>
        <w:numPr>
          <w:ilvl w:val="0"/>
          <w:numId w:val="2"/>
        </w:numPr>
        <w:ind w:left="1080"/>
      </w:pPr>
      <w:r>
        <w:t>tās pieņemamās lietošanas politikas nosacījumu pārkāpumu, kas ir aprakstīta Produktu Lietošanas noteikumos.</w:t>
      </w:r>
    </w:p>
    <w:p w14:paraId="77F1CC52" w14:textId="5D37A64A" w:rsidR="00F64D0F" w:rsidRPr="00910467" w:rsidRDefault="00F64D0F" w:rsidP="003D6AC0">
      <w:r>
        <w:t>Iestādei ir jāatlīdzina jebkādi izdevumi, kas saistīti ar nelabvēlīgu galīgo spriedumu (vai izlīgumu, kam piekrīt Iestāde).</w:t>
      </w:r>
      <w:r w:rsidR="00D14A2E">
        <w:t xml:space="preserve"> </w:t>
      </w:r>
      <w:r>
        <w:t>Šajā sadaļā ir norādīta korporācijas Microsoft vienīgā kompensācijas iespēja šādu prasību gadījumos.</w:t>
      </w:r>
    </w:p>
    <w:p w14:paraId="77F1CC53" w14:textId="0F92D66F" w:rsidR="00F64D0F" w:rsidRPr="00910467" w:rsidRDefault="00F64D0F" w:rsidP="003D6AC0">
      <w:r>
        <w:t>Korporācijai Microsoft ir nekavējoties rakstiski jāinformē Iestāde par šajā sadaļā aprakstītajām prasībām.</w:t>
      </w:r>
      <w:r w:rsidR="00D14A2E">
        <w:t xml:space="preserve"> </w:t>
      </w:r>
      <w:r>
        <w:t>Korporācijai Microsoft ir (1) jāsniedz Iestādei pilnīga kontrole pār aizstāvību pret šādu prasību vai tās izlīgumu un (2) jāsniedz pamatota palīdzība aizstāvībā pret prasību.</w:t>
      </w:r>
      <w:r w:rsidR="00D14A2E">
        <w:t xml:space="preserve"> </w:t>
      </w:r>
      <w:r>
        <w:t>Iestāde atlīdzina korporācijai Microsoft attiecīgos izdevumus, kas radušies, nodrošinot šādu palīdzību.</w:t>
      </w:r>
    </w:p>
    <w:p w14:paraId="77F1CC54" w14:textId="77777777" w:rsidR="00F64D0F" w:rsidRPr="00910467" w:rsidRDefault="00F64D0F" w:rsidP="003D6AC0">
      <w:pPr>
        <w:pStyle w:val="Heading1"/>
      </w:pPr>
      <w:r>
        <w:t>4.</w:t>
      </w:r>
      <w:r>
        <w:tab/>
        <w:t>Atbildības ierobežojums.</w:t>
      </w:r>
    </w:p>
    <w:p w14:paraId="77F1CC55" w14:textId="739C3E30" w:rsidR="00F64D0F" w:rsidRPr="00D35441" w:rsidRDefault="00F64D0F" w:rsidP="003D6AC0">
      <w:pPr>
        <w:rPr>
          <w:spacing w:val="-2"/>
        </w:rPr>
      </w:pPr>
      <w:r w:rsidRPr="00D35441">
        <w:rPr>
          <w:spacing w:val="-2"/>
        </w:rPr>
        <w:t>Ciktāl to atļauj piemērojamie tiesību akti, katras līgumslēdzējas puses, tostarp tās Saistīto uzņēmumu un līgumdarbinieku, kopējā atbildība attiecībā uz jebkādām prasībām saistībā ar šo Līgumu ir ierobežota ar tiešo zaudējumu atlīdzināšanu par summu, ko Iestādei bija jāmaksā par Tiešsaistes pakalpojumiem 12 mēnešu periodā pirms radās pamats lietas ierosināšanai; ar nosacījumu, ka nevienas līgumslēdzējas puses kopējā atbildība par jebkuru no Tiešsaistes pakalpojumiem nekādā gadījumā nepārsniegs summu, kas tika samaksāta par attiecīgo Tiešsaistes pakalpojumu saskaņā ar piemērojamo Reģistrāciju.</w:t>
      </w:r>
      <w:r w:rsidR="00D14A2E" w:rsidRPr="00D35441">
        <w:rPr>
          <w:spacing w:val="-2"/>
        </w:rPr>
        <w:t xml:space="preserve"> </w:t>
      </w:r>
      <w:r w:rsidRPr="00D35441">
        <w:rPr>
          <w:spacing w:val="-2"/>
        </w:rPr>
        <w:t>Ja Iestāde lieto bezmaksas Tiešsaistes pakalpojumus vai kodu, ko Iestādei ir atļauts tālākizplatīt trešajām personām, neveicot atsevišķu maksājumu korporācijai Microsoft, korporācijas Microsoft atbildība ir ierobežota līdz tiešo zaudējumu atlīdzināšanai, bet ne vairāk par 5000 ASV dolāriem.</w:t>
      </w:r>
      <w:r w:rsidR="00D14A2E" w:rsidRPr="00D35441">
        <w:rPr>
          <w:spacing w:val="-2"/>
        </w:rPr>
        <w:t xml:space="preserve"> </w:t>
      </w:r>
      <w:r w:rsidRPr="00D35441">
        <w:rPr>
          <w:spacing w:val="-2"/>
        </w:rPr>
        <w:t>Šie ierobežojumi ir spēkā neatkarīgi no tā, vai izvirzītā atbildība ir pamatota ar līguma pārkāpumu, tiesību pārkāpumu (tostarp nolaidību), nepārprotamu atbildību, garantiju pārkāpumu vai jebkādu citu juridisku pieņēmumu.</w:t>
      </w:r>
      <w:r w:rsidR="00D14A2E" w:rsidRPr="00D35441">
        <w:rPr>
          <w:spacing w:val="-2"/>
        </w:rPr>
        <w:t xml:space="preserve"> </w:t>
      </w:r>
      <w:r w:rsidRPr="00D35441">
        <w:rPr>
          <w:spacing w:val="-2"/>
        </w:rPr>
        <w:t>Tomēr šajā sadaļā minētie ierobežojumi neattiecas uz:</w:t>
      </w:r>
    </w:p>
    <w:p w14:paraId="77F1CC56" w14:textId="32B56B22" w:rsidR="00F64D0F" w:rsidRPr="00910467" w:rsidRDefault="00F64D0F" w:rsidP="003D6AC0">
      <w:pPr>
        <w:pStyle w:val="ListParagraph"/>
        <w:numPr>
          <w:ilvl w:val="0"/>
          <w:numId w:val="1"/>
        </w:numPr>
        <w:ind w:left="1080"/>
      </w:pPr>
      <w:r>
        <w:t xml:space="preserve">Microsoft pienākumiem, kas ir norādīti Līguma sadaļā ar nosaukumu </w:t>
      </w:r>
      <w:r w:rsidR="00F51BCB">
        <w:t>„</w:t>
      </w:r>
      <w:r>
        <w:t xml:space="preserve">Aizstāvība pret prasībām saistībā ar tiesību aizskārumu, nelikumīgu piesavināšanos un trešo personu prasībām”, vai Iestādes pienākumiem, kas norādīti Papildu nosacījumu sadaļā ar nosaukumu </w:t>
      </w:r>
      <w:r w:rsidR="00F51BCB">
        <w:t>„</w:t>
      </w:r>
      <w:r>
        <w:t>Iestādes piekrišana aizstāvēt”;</w:t>
      </w:r>
    </w:p>
    <w:p w14:paraId="2BED46C7" w14:textId="4AFE23F8" w:rsidR="00861C56" w:rsidRDefault="00F64D0F" w:rsidP="003D6AC0">
      <w:pPr>
        <w:pStyle w:val="ListParagraph"/>
        <w:numPr>
          <w:ilvl w:val="0"/>
          <w:numId w:val="1"/>
        </w:numPr>
        <w:ind w:left="1080"/>
      </w:pPr>
      <w:r>
        <w:t xml:space="preserve">saistībām, kas radušās, ja jebkura no līgumslēdzējām pusēm nav izpildījusi jebkuru no Līguma sadaļā </w:t>
      </w:r>
      <w:r w:rsidR="00523D3F">
        <w:t>„</w:t>
      </w:r>
      <w:r>
        <w:t>Konfidencialitāte</w:t>
      </w:r>
      <w:r w:rsidR="00523D3F">
        <w:t>”</w:t>
      </w:r>
      <w:r>
        <w:t xml:space="preserve"> minētajiem pienākumiem, izņemot gadījumus, kad korporācijas Microsoft atbildība ir saistīta ar Iestādes datiem — tādā gadījumā atbildība vienmēr tiek ierobežota līdz iepriekš norādītajai summai attiecībā uz Tiešsaistes pakalpojumiem; un </w:t>
      </w:r>
    </w:p>
    <w:p w14:paraId="77F1CC58" w14:textId="182079DC" w:rsidR="00F64D0F" w:rsidRPr="00910467" w:rsidRDefault="00861C56" w:rsidP="003D6AC0">
      <w:pPr>
        <w:pStyle w:val="ListParagraph"/>
        <w:numPr>
          <w:ilvl w:val="0"/>
          <w:numId w:val="1"/>
        </w:numPr>
        <w:ind w:left="1080"/>
      </w:pPr>
      <w:r>
        <w:t>jebkuras līgumslēdzējas puses intelektuālā īpašuma tiesību pārkāpšanu.</w:t>
      </w:r>
    </w:p>
    <w:p w14:paraId="6F417F09" w14:textId="1A7E7FF6" w:rsidR="001D4400" w:rsidRPr="007B6E40" w:rsidRDefault="00F64D0F" w:rsidP="003D6AC0">
      <w:pPr>
        <w:rPr>
          <w:b/>
          <w:bCs/>
        </w:rPr>
      </w:pPr>
      <w:r>
        <w:rPr>
          <w:b/>
          <w:bCs/>
        </w:rPr>
        <w:t xml:space="preserve">CIKTĀL TO ATĻAUJ PIEMĒROJAMIE TIESĪBU AKTI, NEATKARĪGI NO PRASĪBAS JURIDISKĀ PAMATOJUMA NEVIENA LĪGUMSLĒDZĒJA PUSE, NEDZ ARĪ TO SAISTĪTIE UZŅĒMUMI VAI APAKŠUZŅĒMĒJI NAV ATBILDĪGI NE PAR KĀDIEM NETIEŠIEM, IZRIETOŠIEM, ĪPAŠIEM VAI NEJAUŠIEM ZAUDĒJUMIEM, VAI PEĻŅAS VAI IEŅĒMUMU ZAUDĒJUMIEM, KOMERCDARBĪBAS PĀRTRAUKUMA VAI KOMERCINFORMĀCIJAS ZUDUMA IZRAISĪTIEM ZAUDĒJUMIEM, KAS RADUŠIES SAISTĪBĀ AR </w:t>
      </w:r>
      <w:bookmarkStart w:id="0" w:name="_GoBack"/>
      <w:bookmarkEnd w:id="0"/>
      <w:r>
        <w:rPr>
          <w:b/>
          <w:bCs/>
        </w:rPr>
        <w:t>ŠO LĪGUMU, ARĪ TAD, JA IR NORĀDĪTS PAR ŠĀDU ZAUDĒJUMU IESPĒJAMĪBU VAI ŠĀDA IESPĒJAMĪBA BIJA PAREDZAMA.</w:t>
      </w:r>
      <w:r w:rsidR="00D14A2E">
        <w:rPr>
          <w:b/>
          <w:bCs/>
        </w:rPr>
        <w:t xml:space="preserve"> </w:t>
      </w:r>
      <w:r>
        <w:rPr>
          <w:b/>
          <w:bCs/>
        </w:rPr>
        <w:t xml:space="preserve">ŠIS IZŅĒMUMS TOMĒR NEATTIECAS UZ JEBKURAS LĪGUMSLĒDZĒJAS PUSES ATBILDĪBU PRET OTRU PUSI PAR (1) TĀS KONFIDENCIALITĀTES PIENĀKUMU PĀRKĀPŠANU (IZŅEMOT </w:t>
      </w:r>
      <w:r>
        <w:rPr>
          <w:b/>
          <w:bCs/>
        </w:rPr>
        <w:lastRenderedPageBreak/>
        <w:t xml:space="preserve">APMĒRĀ, KĀDĀ ŠĀDI PĀRKĀPUMI IR SAISTĪTI AR IESTĀDES DATIEM), (2) OTRAS LĪGUMSLĒDZĒJAS PUSES INTELEKTUĀLĀ ĪPAŠUMA TIESĪBU PĀRKĀPUMU VAI (3) LĪGUMA SADAĻĀ AR NOSAUKUMU </w:t>
      </w:r>
      <w:r w:rsidR="0052654A">
        <w:rPr>
          <w:b/>
          <w:bCs/>
        </w:rPr>
        <w:t>„</w:t>
      </w:r>
      <w:r w:rsidR="00177DD4">
        <w:rPr>
          <w:b/>
          <w:bCs/>
        </w:rPr>
        <w:t>AIZSTĀVĪBA PRET PRASĪBĀM SAISTĪBĀ AR TIESĪBU AIZSKĀRUMU, NELIKUMĪGU PIESAVINĀŠANOS UN</w:t>
      </w:r>
      <w:r>
        <w:rPr>
          <w:b/>
          <w:bCs/>
        </w:rPr>
        <w:t xml:space="preserve"> TREŠO PERSONU PRASĪBĀM” MINĒTO PIENĀKUMU PĀRKĀPUMU, VAI ŠO PAPILDU NOSACĪJUMU SADAĻĀ AR NOSAUKUMU </w:t>
      </w:r>
      <w:r w:rsidR="0052654A">
        <w:rPr>
          <w:b/>
          <w:bCs/>
        </w:rPr>
        <w:t>„</w:t>
      </w:r>
      <w:r>
        <w:rPr>
          <w:b/>
          <w:bCs/>
        </w:rPr>
        <w:t>IESTĀDES piekrišana aizstāvēt” MINĒTO IESTĀDES PIENĀKUMU PĀRKĀPUMU.</w:t>
      </w:r>
    </w:p>
    <w:p w14:paraId="77F1CC5E" w14:textId="56BF031A" w:rsidR="00F64D0F" w:rsidRPr="00910467" w:rsidRDefault="00F64D0F" w:rsidP="00C947EB">
      <w:pPr>
        <w:pStyle w:val="Heading1"/>
      </w:pPr>
      <w:r>
        <w:t>5.</w:t>
      </w:r>
      <w:r>
        <w:tab/>
        <w:t>Papildu nosacījumu piemērojamība.</w:t>
      </w:r>
    </w:p>
    <w:p w14:paraId="77F1CC5F" w14:textId="527351B0" w:rsidR="00437F11" w:rsidRPr="00910467" w:rsidRDefault="00F64D0F" w:rsidP="003D6AC0">
      <w:r>
        <w:t>Šie Papildu nosacījumi ir spēkā tikai Iestādes veiktai Tiešsaistes pakalpojumu iegādei un lietošanai.</w:t>
      </w:r>
      <w:r w:rsidR="00D14A2E">
        <w:t xml:space="preserve"> </w:t>
      </w:r>
      <w:r>
        <w:t>Uz Pakalpojumiem (piemēram, konsultācijām vai profesionālajiem pakalpojumiem) un Produktiem, kas nav Tiešsaistes pakalpojumi, joprojām attiecas attiecīgi Līguma un/vai Reģistrācijas un jebkuru tajos norādīto nosacījumu noteikumi.</w:t>
      </w:r>
      <w:r w:rsidR="00D14A2E">
        <w:t xml:space="preserve"> </w:t>
      </w:r>
      <w:r>
        <w:t>Gadījumā, ja starp šiem Papildu nosacījumiem un Līguma un/vai Reģistrācijas noteikumiem un nosacījumiem rodas pretrunas, kas tajos nav skaidri atrunātas, noteicošie ir šie Papildu nosacījumi.</w:t>
      </w:r>
    </w:p>
    <w:p w14:paraId="05F862E6" w14:textId="77777777" w:rsidR="00214F5A" w:rsidRPr="00910467" w:rsidRDefault="00214F5A"/>
    <w:sectPr w:rsidR="00214F5A"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FBAFD6" w14:textId="77777777" w:rsidR="005A584B" w:rsidRDefault="005A584B" w:rsidP="00437F11">
      <w:pPr>
        <w:spacing w:before="0"/>
      </w:pPr>
      <w:r>
        <w:separator/>
      </w:r>
    </w:p>
  </w:endnote>
  <w:endnote w:type="continuationSeparator" w:id="0">
    <w:p w14:paraId="10233771" w14:textId="77777777" w:rsidR="005A584B" w:rsidRDefault="005A584B"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69620B" w14:paraId="77F1CC67" w14:textId="77777777" w:rsidTr="006E4C4B">
      <w:trPr>
        <w:jc w:val="center"/>
      </w:trPr>
      <w:tc>
        <w:tcPr>
          <w:tcW w:w="4951" w:type="dxa"/>
        </w:tcPr>
        <w:p w14:paraId="77F1CC64" w14:textId="392A673D" w:rsidR="00990918" w:rsidRPr="0069620B" w:rsidRDefault="006200A9" w:rsidP="0069620B">
          <w:pPr>
            <w:pStyle w:val="Footer"/>
            <w:jc w:val="left"/>
            <w:rPr>
              <w:rFonts w:cs="Arial"/>
              <w:sz w:val="16"/>
              <w:szCs w:val="16"/>
              <w:lang w:val="en-US" w:eastAsia="ja-JP" w:bidi="ar-SA"/>
            </w:rPr>
          </w:pPr>
          <w:r w:rsidRPr="0069620B">
            <w:rPr>
              <w:rFonts w:cs="Arial"/>
              <w:sz w:val="16"/>
              <w:szCs w:val="16"/>
              <w:lang w:val="en-US" w:eastAsia="ja-JP" w:bidi="ar-SA"/>
            </w:rPr>
            <w:t>SuppTsandCsForOLS(Aca)(WW)(</w:t>
          </w:r>
          <w:r w:rsidR="0069620B">
            <w:rPr>
              <w:rFonts w:cs="Arial"/>
              <w:sz w:val="16"/>
              <w:szCs w:val="16"/>
              <w:lang w:val="en-US" w:eastAsia="ja-JP" w:bidi="ar-SA"/>
            </w:rPr>
            <w:t>LAV</w:t>
          </w:r>
          <w:r w:rsidRPr="0069620B">
            <w:rPr>
              <w:rFonts w:cs="Arial"/>
              <w:sz w:val="16"/>
              <w:szCs w:val="16"/>
              <w:lang w:val="en-US" w:eastAsia="ja-JP" w:bidi="ar-SA"/>
            </w:rPr>
            <w:t>)(Aug2016)</w:t>
          </w:r>
        </w:p>
      </w:tc>
      <w:tc>
        <w:tcPr>
          <w:tcW w:w="4078" w:type="dxa"/>
        </w:tcPr>
        <w:p w14:paraId="77F1CC65" w14:textId="64729034" w:rsidR="00990918" w:rsidRDefault="00990918" w:rsidP="00C2432C">
          <w:pPr>
            <w:spacing w:before="0"/>
            <w:jc w:val="right"/>
            <w:rPr>
              <w:sz w:val="16"/>
              <w:szCs w:val="16"/>
              <w:lang w:val="en-US" w:eastAsia="ja-JP" w:bidi="ar-SA"/>
            </w:rPr>
          </w:pPr>
          <w:r w:rsidRPr="0069620B">
            <w:rPr>
              <w:sz w:val="16"/>
              <w:szCs w:val="16"/>
              <w:lang w:val="en-US" w:eastAsia="ja-JP" w:bidi="ar-SA"/>
            </w:rPr>
            <w:t xml:space="preserve">Page </w:t>
          </w:r>
          <w:r w:rsidRPr="0069620B">
            <w:rPr>
              <w:sz w:val="16"/>
              <w:szCs w:val="16"/>
              <w:lang w:val="en-US" w:eastAsia="ja-JP" w:bidi="ar-SA"/>
            </w:rPr>
            <w:fldChar w:fldCharType="begin"/>
          </w:r>
          <w:r w:rsidRPr="0069620B">
            <w:rPr>
              <w:sz w:val="16"/>
              <w:szCs w:val="16"/>
              <w:lang w:val="en-US" w:eastAsia="ja-JP" w:bidi="ar-SA"/>
            </w:rPr>
            <w:instrText xml:space="preserve"> PAGE </w:instrText>
          </w:r>
          <w:r w:rsidRPr="0069620B">
            <w:rPr>
              <w:sz w:val="16"/>
              <w:szCs w:val="16"/>
              <w:lang w:val="en-US" w:eastAsia="ja-JP" w:bidi="ar-SA"/>
            </w:rPr>
            <w:fldChar w:fldCharType="separate"/>
          </w:r>
          <w:r w:rsidR="005D7F10">
            <w:rPr>
              <w:noProof/>
              <w:sz w:val="16"/>
              <w:szCs w:val="16"/>
              <w:lang w:val="en-US" w:eastAsia="ja-JP" w:bidi="ar-SA"/>
            </w:rPr>
            <w:t>2</w:t>
          </w:r>
          <w:r w:rsidRPr="0069620B">
            <w:rPr>
              <w:sz w:val="16"/>
              <w:szCs w:val="16"/>
              <w:lang w:val="en-US" w:eastAsia="ja-JP" w:bidi="ar-SA"/>
            </w:rPr>
            <w:fldChar w:fldCharType="end"/>
          </w:r>
          <w:r w:rsidRPr="0069620B">
            <w:rPr>
              <w:sz w:val="16"/>
              <w:szCs w:val="16"/>
              <w:lang w:val="en-US" w:eastAsia="ja-JP" w:bidi="ar-SA"/>
            </w:rPr>
            <w:t xml:space="preserve"> of </w:t>
          </w:r>
          <w:r w:rsidRPr="0069620B">
            <w:rPr>
              <w:sz w:val="16"/>
              <w:szCs w:val="16"/>
              <w:lang w:val="en-US" w:eastAsia="ja-JP" w:bidi="ar-SA"/>
            </w:rPr>
            <w:fldChar w:fldCharType="begin"/>
          </w:r>
          <w:r w:rsidRPr="0069620B">
            <w:rPr>
              <w:sz w:val="16"/>
              <w:szCs w:val="16"/>
              <w:lang w:val="en-US" w:eastAsia="ja-JP" w:bidi="ar-SA"/>
            </w:rPr>
            <w:instrText xml:space="preserve"> NUMPAGES  </w:instrText>
          </w:r>
          <w:r w:rsidRPr="0069620B">
            <w:rPr>
              <w:sz w:val="16"/>
              <w:szCs w:val="16"/>
              <w:lang w:val="en-US" w:eastAsia="ja-JP" w:bidi="ar-SA"/>
            </w:rPr>
            <w:fldChar w:fldCharType="separate"/>
          </w:r>
          <w:r w:rsidR="005D7F10">
            <w:rPr>
              <w:noProof/>
              <w:sz w:val="16"/>
              <w:szCs w:val="16"/>
              <w:lang w:val="en-US" w:eastAsia="ja-JP" w:bidi="ar-SA"/>
            </w:rPr>
            <w:t>3</w:t>
          </w:r>
          <w:r w:rsidRPr="0069620B">
            <w:rPr>
              <w:sz w:val="16"/>
              <w:szCs w:val="16"/>
              <w:lang w:val="en-US" w:eastAsia="ja-JP" w:bidi="ar-SA"/>
            </w:rPr>
            <w:fldChar w:fldCharType="end"/>
          </w:r>
        </w:p>
        <w:p w14:paraId="6B4CB4E1" w14:textId="27A1897B" w:rsidR="005D7F10" w:rsidRPr="0069620B" w:rsidRDefault="005D7F10" w:rsidP="00C2432C">
          <w:pPr>
            <w:spacing w:before="0"/>
            <w:jc w:val="right"/>
            <w:rPr>
              <w:sz w:val="16"/>
              <w:szCs w:val="16"/>
              <w:lang w:val="en-US" w:eastAsia="ja-JP" w:bidi="ar-SA"/>
            </w:rPr>
          </w:pPr>
          <w:r>
            <w:rPr>
              <w:sz w:val="16"/>
              <w:szCs w:val="16"/>
              <w:lang w:val="en-US" w:eastAsia="ja-JP" w:bidi="ar-SA"/>
            </w:rPr>
            <w:t xml:space="preserve">Document </w:t>
          </w:r>
          <w:r w:rsidRPr="005D7F10">
            <w:rPr>
              <w:sz w:val="16"/>
              <w:szCs w:val="16"/>
              <w:lang w:val="en-US" w:eastAsia="ja-JP" w:bidi="ar-SA"/>
            </w:rPr>
            <w:t>X20-14389</w:t>
          </w:r>
        </w:p>
        <w:p w14:paraId="77F1CC66" w14:textId="77777777" w:rsidR="00990918" w:rsidRPr="0069620B" w:rsidRDefault="00990918" w:rsidP="00C2432C">
          <w:pPr>
            <w:pStyle w:val="Footer"/>
            <w:jc w:val="right"/>
            <w:rPr>
              <w:rFonts w:cs="Arial"/>
              <w:sz w:val="16"/>
              <w:szCs w:val="16"/>
              <w:lang w:val="en-US" w:eastAsia="ja-JP" w:bidi="ar-SA"/>
            </w:rPr>
          </w:pPr>
        </w:p>
      </w:tc>
    </w:tr>
  </w:tbl>
  <w:p w14:paraId="77F1CC68" w14:textId="77777777" w:rsidR="00990918" w:rsidRPr="0069620B" w:rsidRDefault="00990918">
    <w:pPr>
      <w:pStyle w:val="Footer"/>
      <w:rPr>
        <w:rFonts w:cs="Arial"/>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D14A2E" w14:paraId="77F1CC6D" w14:textId="77777777" w:rsidTr="00C2432C">
      <w:trPr>
        <w:jc w:val="center"/>
      </w:trPr>
      <w:tc>
        <w:tcPr>
          <w:tcW w:w="4514" w:type="dxa"/>
        </w:tcPr>
        <w:p w14:paraId="77F1CC6A" w14:textId="2492DA76" w:rsidR="00990918" w:rsidRPr="00D14A2E" w:rsidRDefault="006D4D74" w:rsidP="00D14A2E">
          <w:pPr>
            <w:pStyle w:val="Footer"/>
            <w:jc w:val="left"/>
            <w:rPr>
              <w:rFonts w:cs="Arial"/>
              <w:sz w:val="16"/>
              <w:szCs w:val="16"/>
              <w:lang w:val="en-US" w:eastAsia="ja-JP" w:bidi="ar-SA"/>
            </w:rPr>
          </w:pPr>
          <w:r w:rsidRPr="00D14A2E">
            <w:rPr>
              <w:rFonts w:cs="Arial"/>
              <w:sz w:val="16"/>
              <w:szCs w:val="16"/>
              <w:lang w:val="en-US" w:eastAsia="ja-JP" w:bidi="ar-SA"/>
            </w:rPr>
            <w:t>SuppTsandCsForOLS(Aca)(WW)(</w:t>
          </w:r>
          <w:r w:rsidR="00D14A2E">
            <w:rPr>
              <w:rFonts w:cs="Arial"/>
              <w:sz w:val="16"/>
              <w:szCs w:val="16"/>
              <w:lang w:val="en-US" w:eastAsia="ja-JP" w:bidi="ar-SA"/>
            </w:rPr>
            <w:t>LAV</w:t>
          </w:r>
          <w:r w:rsidRPr="00D14A2E">
            <w:rPr>
              <w:rFonts w:cs="Arial"/>
              <w:sz w:val="16"/>
              <w:szCs w:val="16"/>
              <w:lang w:val="en-US" w:eastAsia="ja-JP" w:bidi="ar-SA"/>
            </w:rPr>
            <w:t>)(Aug2016)</w:t>
          </w:r>
        </w:p>
      </w:tc>
      <w:tc>
        <w:tcPr>
          <w:tcW w:w="4515" w:type="dxa"/>
        </w:tcPr>
        <w:p w14:paraId="77F1CC6B" w14:textId="7518536F" w:rsidR="00990918" w:rsidRDefault="00990918" w:rsidP="00C2432C">
          <w:pPr>
            <w:spacing w:before="0"/>
            <w:jc w:val="right"/>
            <w:rPr>
              <w:sz w:val="16"/>
              <w:szCs w:val="16"/>
              <w:lang w:val="en-US" w:eastAsia="ja-JP" w:bidi="ar-SA"/>
            </w:rPr>
          </w:pPr>
          <w:r w:rsidRPr="00D14A2E">
            <w:rPr>
              <w:sz w:val="16"/>
              <w:szCs w:val="16"/>
              <w:lang w:val="en-US" w:eastAsia="ja-JP" w:bidi="ar-SA"/>
            </w:rPr>
            <w:t xml:space="preserve">Page </w:t>
          </w:r>
          <w:r w:rsidRPr="00D14A2E">
            <w:rPr>
              <w:sz w:val="16"/>
              <w:szCs w:val="16"/>
              <w:lang w:val="en-US" w:eastAsia="ja-JP" w:bidi="ar-SA"/>
            </w:rPr>
            <w:fldChar w:fldCharType="begin"/>
          </w:r>
          <w:r w:rsidRPr="00D14A2E">
            <w:rPr>
              <w:sz w:val="16"/>
              <w:szCs w:val="16"/>
              <w:lang w:val="en-US" w:eastAsia="ja-JP" w:bidi="ar-SA"/>
            </w:rPr>
            <w:instrText xml:space="preserve"> PAGE </w:instrText>
          </w:r>
          <w:r w:rsidRPr="00D14A2E">
            <w:rPr>
              <w:sz w:val="16"/>
              <w:szCs w:val="16"/>
              <w:lang w:val="en-US" w:eastAsia="ja-JP" w:bidi="ar-SA"/>
            </w:rPr>
            <w:fldChar w:fldCharType="separate"/>
          </w:r>
          <w:r w:rsidR="005D7F10">
            <w:rPr>
              <w:noProof/>
              <w:sz w:val="16"/>
              <w:szCs w:val="16"/>
              <w:lang w:val="en-US" w:eastAsia="ja-JP" w:bidi="ar-SA"/>
            </w:rPr>
            <w:t>1</w:t>
          </w:r>
          <w:r w:rsidRPr="00D14A2E">
            <w:rPr>
              <w:sz w:val="16"/>
              <w:szCs w:val="16"/>
              <w:lang w:val="en-US" w:eastAsia="ja-JP" w:bidi="ar-SA"/>
            </w:rPr>
            <w:fldChar w:fldCharType="end"/>
          </w:r>
          <w:r w:rsidRPr="00D14A2E">
            <w:rPr>
              <w:sz w:val="16"/>
              <w:szCs w:val="16"/>
              <w:lang w:val="en-US" w:eastAsia="ja-JP" w:bidi="ar-SA"/>
            </w:rPr>
            <w:t xml:space="preserve"> of </w:t>
          </w:r>
          <w:r w:rsidRPr="00D14A2E">
            <w:rPr>
              <w:sz w:val="16"/>
              <w:szCs w:val="16"/>
              <w:lang w:val="en-US" w:eastAsia="ja-JP" w:bidi="ar-SA"/>
            </w:rPr>
            <w:fldChar w:fldCharType="begin"/>
          </w:r>
          <w:r w:rsidRPr="00D14A2E">
            <w:rPr>
              <w:sz w:val="16"/>
              <w:szCs w:val="16"/>
              <w:lang w:val="en-US" w:eastAsia="ja-JP" w:bidi="ar-SA"/>
            </w:rPr>
            <w:instrText xml:space="preserve"> NUMPAGES  </w:instrText>
          </w:r>
          <w:r w:rsidRPr="00D14A2E">
            <w:rPr>
              <w:sz w:val="16"/>
              <w:szCs w:val="16"/>
              <w:lang w:val="en-US" w:eastAsia="ja-JP" w:bidi="ar-SA"/>
            </w:rPr>
            <w:fldChar w:fldCharType="separate"/>
          </w:r>
          <w:r w:rsidR="005D7F10">
            <w:rPr>
              <w:noProof/>
              <w:sz w:val="16"/>
              <w:szCs w:val="16"/>
              <w:lang w:val="en-US" w:eastAsia="ja-JP" w:bidi="ar-SA"/>
            </w:rPr>
            <w:t>3</w:t>
          </w:r>
          <w:r w:rsidRPr="00D14A2E">
            <w:rPr>
              <w:sz w:val="16"/>
              <w:szCs w:val="16"/>
              <w:lang w:val="en-US" w:eastAsia="ja-JP" w:bidi="ar-SA"/>
            </w:rPr>
            <w:fldChar w:fldCharType="end"/>
          </w:r>
        </w:p>
        <w:p w14:paraId="73FA6ED7" w14:textId="2D9194B0" w:rsidR="005D7F10" w:rsidRPr="00D14A2E" w:rsidRDefault="005D7F10" w:rsidP="00C2432C">
          <w:pPr>
            <w:spacing w:before="0"/>
            <w:jc w:val="right"/>
            <w:rPr>
              <w:sz w:val="16"/>
              <w:szCs w:val="16"/>
              <w:lang w:val="en-US" w:eastAsia="ja-JP" w:bidi="ar-SA"/>
            </w:rPr>
          </w:pPr>
          <w:r>
            <w:rPr>
              <w:sz w:val="16"/>
              <w:szCs w:val="16"/>
              <w:lang w:val="en-US" w:eastAsia="ja-JP" w:bidi="ar-SA"/>
            </w:rPr>
            <w:t xml:space="preserve">Document </w:t>
          </w:r>
          <w:r w:rsidRPr="005D7F10">
            <w:rPr>
              <w:sz w:val="16"/>
              <w:szCs w:val="16"/>
              <w:lang w:val="en-US" w:eastAsia="ja-JP" w:bidi="ar-SA"/>
            </w:rPr>
            <w:t>X20-14389</w:t>
          </w:r>
        </w:p>
        <w:p w14:paraId="77F1CC6C" w14:textId="77777777" w:rsidR="00990918" w:rsidRPr="00D14A2E" w:rsidRDefault="00990918" w:rsidP="00C2432C">
          <w:pPr>
            <w:pStyle w:val="Footer"/>
            <w:jc w:val="right"/>
            <w:rPr>
              <w:rFonts w:cs="Arial"/>
              <w:sz w:val="16"/>
              <w:szCs w:val="16"/>
              <w:lang w:val="en-US" w:eastAsia="ja-JP" w:bidi="ar-SA"/>
            </w:rPr>
          </w:pPr>
        </w:p>
      </w:tc>
    </w:tr>
  </w:tbl>
  <w:p w14:paraId="77F1CC6E" w14:textId="77777777" w:rsidR="00990918" w:rsidRPr="00D14A2E" w:rsidRDefault="00990918">
    <w:pPr>
      <w:pStyle w:val="Footer"/>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DEC844" w14:textId="77777777" w:rsidR="005A584B" w:rsidRDefault="005A584B" w:rsidP="00437F11">
      <w:pPr>
        <w:spacing w:before="0"/>
      </w:pPr>
      <w:r>
        <w:separator/>
      </w:r>
    </w:p>
  </w:footnote>
  <w:footnote w:type="continuationSeparator" w:id="0">
    <w:p w14:paraId="26FD394C" w14:textId="77777777" w:rsidR="005A584B" w:rsidRDefault="005A584B"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073BC"/>
    <w:rsid w:val="00035263"/>
    <w:rsid w:val="00060836"/>
    <w:rsid w:val="000B4376"/>
    <w:rsid w:val="000C6335"/>
    <w:rsid w:val="000D13BB"/>
    <w:rsid w:val="00141DC8"/>
    <w:rsid w:val="00164638"/>
    <w:rsid w:val="00172014"/>
    <w:rsid w:val="00177DD4"/>
    <w:rsid w:val="00185239"/>
    <w:rsid w:val="001A3D5F"/>
    <w:rsid w:val="001A6164"/>
    <w:rsid w:val="001A7430"/>
    <w:rsid w:val="001B638F"/>
    <w:rsid w:val="001D1C1B"/>
    <w:rsid w:val="001D4400"/>
    <w:rsid w:val="001D774A"/>
    <w:rsid w:val="00211955"/>
    <w:rsid w:val="00214F5A"/>
    <w:rsid w:val="002156C2"/>
    <w:rsid w:val="0024027E"/>
    <w:rsid w:val="0024293C"/>
    <w:rsid w:val="00254CC0"/>
    <w:rsid w:val="00274B46"/>
    <w:rsid w:val="00281C7F"/>
    <w:rsid w:val="002C2889"/>
    <w:rsid w:val="002C2D35"/>
    <w:rsid w:val="00377AA4"/>
    <w:rsid w:val="003D6AC0"/>
    <w:rsid w:val="00437F11"/>
    <w:rsid w:val="00441D37"/>
    <w:rsid w:val="0044736A"/>
    <w:rsid w:val="00467941"/>
    <w:rsid w:val="00494396"/>
    <w:rsid w:val="004B5F7F"/>
    <w:rsid w:val="004C6C05"/>
    <w:rsid w:val="004D3724"/>
    <w:rsid w:val="004D3C16"/>
    <w:rsid w:val="004F75DC"/>
    <w:rsid w:val="00504D50"/>
    <w:rsid w:val="00511C56"/>
    <w:rsid w:val="00523D3F"/>
    <w:rsid w:val="0052654A"/>
    <w:rsid w:val="005A584B"/>
    <w:rsid w:val="005D6913"/>
    <w:rsid w:val="005D7F10"/>
    <w:rsid w:val="005F56D7"/>
    <w:rsid w:val="006200A9"/>
    <w:rsid w:val="00645085"/>
    <w:rsid w:val="0065757C"/>
    <w:rsid w:val="00662273"/>
    <w:rsid w:val="006666BC"/>
    <w:rsid w:val="006731A2"/>
    <w:rsid w:val="0069620B"/>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B6E40"/>
    <w:rsid w:val="007D508A"/>
    <w:rsid w:val="00836C19"/>
    <w:rsid w:val="00842612"/>
    <w:rsid w:val="008466D3"/>
    <w:rsid w:val="00850093"/>
    <w:rsid w:val="00861C56"/>
    <w:rsid w:val="008658A5"/>
    <w:rsid w:val="0089365F"/>
    <w:rsid w:val="00910467"/>
    <w:rsid w:val="009324C0"/>
    <w:rsid w:val="00934CEC"/>
    <w:rsid w:val="0095265C"/>
    <w:rsid w:val="0095549D"/>
    <w:rsid w:val="00956A24"/>
    <w:rsid w:val="00977218"/>
    <w:rsid w:val="00990918"/>
    <w:rsid w:val="00990C0E"/>
    <w:rsid w:val="009B607E"/>
    <w:rsid w:val="009C2E77"/>
    <w:rsid w:val="009E7577"/>
    <w:rsid w:val="00A02DFA"/>
    <w:rsid w:val="00A03C3F"/>
    <w:rsid w:val="00A2043D"/>
    <w:rsid w:val="00A71A50"/>
    <w:rsid w:val="00A85772"/>
    <w:rsid w:val="00A95F63"/>
    <w:rsid w:val="00AD56EE"/>
    <w:rsid w:val="00AD79DB"/>
    <w:rsid w:val="00B02E03"/>
    <w:rsid w:val="00B40086"/>
    <w:rsid w:val="00B43977"/>
    <w:rsid w:val="00B5003D"/>
    <w:rsid w:val="00B52AB8"/>
    <w:rsid w:val="00B73434"/>
    <w:rsid w:val="00BB26E4"/>
    <w:rsid w:val="00C172C9"/>
    <w:rsid w:val="00C2432C"/>
    <w:rsid w:val="00C374FE"/>
    <w:rsid w:val="00C474BA"/>
    <w:rsid w:val="00C613E7"/>
    <w:rsid w:val="00C61AD0"/>
    <w:rsid w:val="00C722B3"/>
    <w:rsid w:val="00C806DD"/>
    <w:rsid w:val="00C823E0"/>
    <w:rsid w:val="00C947EB"/>
    <w:rsid w:val="00CD04CB"/>
    <w:rsid w:val="00CD513F"/>
    <w:rsid w:val="00D14A2E"/>
    <w:rsid w:val="00D25D25"/>
    <w:rsid w:val="00D35441"/>
    <w:rsid w:val="00D369BB"/>
    <w:rsid w:val="00D777BD"/>
    <w:rsid w:val="00D82431"/>
    <w:rsid w:val="00D82E50"/>
    <w:rsid w:val="00DB2965"/>
    <w:rsid w:val="00DB6DC3"/>
    <w:rsid w:val="00DF717F"/>
    <w:rsid w:val="00E00D7B"/>
    <w:rsid w:val="00E361C0"/>
    <w:rsid w:val="00E378BA"/>
    <w:rsid w:val="00E74F11"/>
    <w:rsid w:val="00E9342D"/>
    <w:rsid w:val="00EF0433"/>
    <w:rsid w:val="00EF3D87"/>
    <w:rsid w:val="00F07D18"/>
    <w:rsid w:val="00F51BCB"/>
    <w:rsid w:val="00F52153"/>
    <w:rsid w:val="00F64D0F"/>
    <w:rsid w:val="00F6573C"/>
    <w:rsid w:val="00F9781C"/>
    <w:rsid w:val="00FD546C"/>
    <w:rsid w:val="00FD7B9D"/>
    <w:rsid w:val="00FE13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9bQasMEcWgtyG/qyaoX5s4e2Fuk=" w:salt="8Bp7GoAlfpRNPihGHFCk3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lv-LV" w:eastAsia="lv-LV" w:bidi="lv-LV"/>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1206</Words>
  <Characters>6879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8069</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2016-08-18T15:58:00Z</dcterms:modified>
</cp:coreProperties>
</file>