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F1CC3C" w14:textId="7588B96D" w:rsidR="00D369BB" w:rsidRPr="007B6E40" w:rsidRDefault="00F64D0F" w:rsidP="00842612">
      <w:pPr>
        <w:spacing w:before="240"/>
        <w:jc w:val="left"/>
        <w:rPr>
          <w:sz w:val="36"/>
          <w:szCs w:val="36"/>
        </w:rPr>
        <w:sectPr w:rsidR="00D369BB" w:rsidRPr="007B6E40" w:rsidSect="00E74F11">
          <w:headerReference w:type="even" r:id="rId10"/>
          <w:headerReference w:type="default" r:id="rId11"/>
          <w:footerReference w:type="even" r:id="rId12"/>
          <w:footerReference w:type="default" r:id="rId13"/>
          <w:headerReference w:type="first" r:id="rId14"/>
          <w:footerReference w:type="first" r:id="rId15"/>
          <w:pgSz w:w="11907" w:h="16839" w:code="9"/>
          <w:pgMar w:top="1440" w:right="1440" w:bottom="1440" w:left="1440" w:header="576" w:footer="432" w:gutter="0"/>
          <w:cols w:space="720"/>
          <w:titlePg/>
          <w:docGrid w:linePitch="360"/>
        </w:sectPr>
      </w:pPr>
      <w:r>
        <w:rPr>
          <w:sz w:val="36"/>
          <w:szCs w:val="36"/>
        </w:rPr>
        <w:t>Papildomos internete teikiamų paslaugų sąlygos (Akademinė sutartis)</w:t>
      </w:r>
      <w:r>
        <w:br/>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9324C0" w:rsidRPr="000372A2" w14:paraId="61CDF8F7" w14:textId="77777777" w:rsidTr="008D7FAA">
        <w:trPr>
          <w:jc w:val="center"/>
        </w:trPr>
        <w:tc>
          <w:tcPr>
            <w:tcW w:w="9029" w:type="dxa"/>
            <w:shd w:val="clear" w:color="auto" w:fill="C6D9F1"/>
          </w:tcPr>
          <w:p w14:paraId="675FD07B" w14:textId="77777777" w:rsidR="009324C0" w:rsidRPr="000372A2" w:rsidRDefault="009324C0" w:rsidP="008D7FAA">
            <w:pPr>
              <w:spacing w:after="120"/>
              <w:ind w:left="86" w:right="86"/>
              <w:jc w:val="center"/>
              <w:rPr>
                <w:b/>
                <w:bCs/>
                <w:sz w:val="26"/>
                <w:szCs w:val="26"/>
              </w:rPr>
            </w:pPr>
            <w:r>
              <w:rPr>
                <w:b/>
                <w:bCs/>
                <w:sz w:val="26"/>
                <w:szCs w:val="26"/>
              </w:rPr>
              <w:t>Galioja tik pridėtos prie pasirašymo formos.</w:t>
            </w:r>
          </w:p>
        </w:tc>
      </w:tr>
    </w:tbl>
    <w:p w14:paraId="77F1CC3D" w14:textId="39FAFB8D" w:rsidR="00F64D0F" w:rsidRPr="00910467" w:rsidRDefault="00F64D0F" w:rsidP="003D6AC0">
      <w:pPr>
        <w:spacing w:before="360"/>
      </w:pPr>
      <w:r>
        <w:t>Jei Įstaiga užsako Internete teikiamas paslaugas, šios Papildomos internete teikiamų paslaugų sąlygos („Papildomos sąlygos“) papildo Sutarties ir (arba) Registracijos sutarties sąlygas (kaip taikoma).</w:t>
      </w:r>
    </w:p>
    <w:p w14:paraId="77F1CC3E" w14:textId="5608CDDD" w:rsidR="00F64D0F" w:rsidRPr="00910467" w:rsidRDefault="00F64D0F" w:rsidP="003D6AC0">
      <w:pPr>
        <w:pStyle w:val="Heading1"/>
      </w:pPr>
      <w:r>
        <w:t>1.</w:t>
      </w:r>
      <w:r>
        <w:tab/>
        <w:t>Sąvokos</w:t>
      </w:r>
      <w:r w:rsidR="00936C85">
        <w:t>.</w:t>
      </w:r>
    </w:p>
    <w:p w14:paraId="77F1CC3F" w14:textId="56C81105" w:rsidR="00F64D0F" w:rsidRPr="00910467" w:rsidRDefault="00F64D0F" w:rsidP="003D6AC0">
      <w:r>
        <w:t>Visų čia vartojamų, bet neapibrėžtų, didžiąja raide parašytų terminų reikšmė tokia pati kaip pateiktoji Sutartyje ir (arba) Registracijos sutartyje.</w:t>
      </w:r>
      <w:r w:rsidR="00700A53">
        <w:t xml:space="preserve"> </w:t>
      </w:r>
      <w:r>
        <w:t>Toliau nurodytos sąvokos pakeičia arba papildo atitinkamas Sutartyje ir (arba) Registracijos sutartyje esančias sąvokas:</w:t>
      </w:r>
    </w:p>
    <w:p w14:paraId="77F1CC40" w14:textId="3D41946E" w:rsidR="00F64D0F" w:rsidRPr="00910467" w:rsidRDefault="00F64D0F" w:rsidP="003D6AC0">
      <w:r>
        <w:t>„Įstaigos duomenys“ reiškia visus duomenis, įskaitant visus teksto, garso, programinės įrangos arba vaizdo failus, kuriuos įmonei „Microsoft“ pateikia Įstaiga arba kurie pateikiami Įstaigos vardu Įstaigai naudojantis Internete teikiamomis paslaugomis.</w:t>
      </w:r>
    </w:p>
    <w:p w14:paraId="77F1CC41" w14:textId="45C29472" w:rsidR="00F64D0F" w:rsidRPr="00910467" w:rsidRDefault="00F64D0F" w:rsidP="003D6AC0">
      <w:r>
        <w:t>„Internete teikiamos paslaugos“ reiškia „Microsoft“ komerciniais pagrindais teikiamas paslaugas, nustatytas Produktų sąlygų skyriuje „Internete teikiamos paslaugos“.</w:t>
      </w:r>
    </w:p>
    <w:p w14:paraId="77F1CC42" w14:textId="799FF603" w:rsidR="00F64D0F" w:rsidRPr="00910467" w:rsidRDefault="00F64D0F" w:rsidP="003D6AC0">
      <w:r>
        <w:t>„Produktas“ reiškia visus produktus, nurodytus Produktų sąlygose, tokius kaip programinę įrangą, Internete teikiamas paslaugas ir kitas internetu teikiamas paslaugas, įskaitant negalutines ar beta versijas.</w:t>
      </w:r>
      <w:r w:rsidR="00700A53">
        <w:t xml:space="preserve"> </w:t>
      </w:r>
      <w:r>
        <w:t>Produktai gali būti siūlomi pagal programas, kurios skiriasi skirtinguose regionuose.</w:t>
      </w:r>
    </w:p>
    <w:p w14:paraId="77F1CC43" w14:textId="47165A0A" w:rsidR="00F64D0F" w:rsidRPr="00910467" w:rsidRDefault="00F64D0F" w:rsidP="003D6AC0">
      <w:r>
        <w:t>„Teikiamų paslaugų sutartis“ reiškia dokumentą, kuriame nurodyti standartai, kurių sutinka laikytis „Microsoft“ ir pagal kuriuos ji vertina Internete teikiamų paslaugų lygį.</w:t>
      </w:r>
    </w:p>
    <w:p w14:paraId="77F1CC44" w14:textId="11E031EA" w:rsidR="00F64D0F" w:rsidRPr="00910467" w:rsidRDefault="00F64D0F" w:rsidP="00D25D25">
      <w:pPr>
        <w:pStyle w:val="Heading1"/>
      </w:pPr>
      <w:r>
        <w:t>2.</w:t>
      </w:r>
      <w:r>
        <w:tab/>
        <w:t>Ribotoji internete teikiamų paslaugų garantija.</w:t>
      </w:r>
    </w:p>
    <w:p w14:paraId="77F1CC45" w14:textId="0DAACE5C" w:rsidR="00F64D0F" w:rsidRPr="00910467" w:rsidRDefault="00F64D0F" w:rsidP="003D6AC0">
      <w:r>
        <w:t>„Microsoft“ garantuoja, kad Internete teikiamos paslaugos veiks pagal taikytiną Paslaugų lygio sutartį.</w:t>
      </w:r>
      <w:r w:rsidR="00700A53">
        <w:t xml:space="preserve"> </w:t>
      </w:r>
      <w:r>
        <w:t>Ši ribotoji garantija galioja, kol Įstaiga naudojasi Internete teikiama paslauga, taikant pranešimo reikalavimus taikytinoje Paslaugų lygio sutartyje.</w:t>
      </w:r>
    </w:p>
    <w:p w14:paraId="77F1CC46" w14:textId="6BD7D729" w:rsidR="00F64D0F" w:rsidRPr="00910467" w:rsidRDefault="00F64D0F" w:rsidP="003D6AC0">
      <w:r>
        <w:t>Jei „Microsoft“ nesilaiko ribotosios garantijos, o Įstaiga praneša „Microsoft“ garantiniu laikotarpiu, „Microsoft“ teiks teisių gynimo priemones, nustatytas atitinkamos Internete teikiamos paslaugos Teikiamų paslaugų sutartyje.</w:t>
      </w:r>
      <w:r w:rsidR="00700A53">
        <w:t xml:space="preserve"> </w:t>
      </w:r>
      <w:r>
        <w:t>Tai yra Įstaigos vienintelės teisių gynimo priemonės dėl ribotosios garantijos pažeidimo, išskyrus teisių gynimo priemones, kurias reikia suteikti pagal taikytiną teisę.</w:t>
      </w:r>
    </w:p>
    <w:p w14:paraId="77F1CC48" w14:textId="5B7A9213" w:rsidR="00F64D0F" w:rsidRPr="00910467" w:rsidRDefault="00F64D0F" w:rsidP="000C6335">
      <w:r>
        <w:t>Šiai ribotajai garantijai taikomi tokie apribojimai:</w:t>
      </w:r>
    </w:p>
    <w:p w14:paraId="77F1CC49" w14:textId="22830C91" w:rsidR="00F64D0F" w:rsidRPr="00910467" w:rsidRDefault="00F64D0F" w:rsidP="000C6335">
      <w:pPr>
        <w:pStyle w:val="ListParagraph"/>
        <w:numPr>
          <w:ilvl w:val="0"/>
          <w:numId w:val="32"/>
        </w:numPr>
      </w:pPr>
      <w:r>
        <w:t>ribotoji garantija neapima problemų, kurios kilo dėl nelaimingo atsitikimo, piktnaudžiavimo ar naudojant būdu, nesuderinamu su šia Sutartimi ir (arba) Registracijos sutartimi (kaip taikoma) arba Produktų naudojimo teisėmis, arba kurios kilo dėl įvykių, kurių „Microsoft“ negalėjo pagrįstai kontroliuoti;</w:t>
      </w:r>
    </w:p>
    <w:p w14:paraId="77F1CC4A" w14:textId="77777777" w:rsidR="00F64D0F" w:rsidRPr="00910467" w:rsidRDefault="00F64D0F" w:rsidP="000C6335">
      <w:pPr>
        <w:pStyle w:val="ListParagraph"/>
        <w:numPr>
          <w:ilvl w:val="0"/>
          <w:numId w:val="32"/>
        </w:numPr>
      </w:pPr>
      <w:r>
        <w:t xml:space="preserve">ribotoji garantija netaikoma Produktų komponentams, kuriuos Įstaigai leidžiama pakartotinai platinti; </w:t>
      </w:r>
    </w:p>
    <w:p w14:paraId="77F1CC4B" w14:textId="77777777" w:rsidR="00F64D0F" w:rsidRPr="00910467" w:rsidRDefault="00F64D0F" w:rsidP="000C6335">
      <w:pPr>
        <w:pStyle w:val="ListParagraph"/>
        <w:numPr>
          <w:ilvl w:val="0"/>
          <w:numId w:val="32"/>
        </w:numPr>
      </w:pPr>
      <w:r>
        <w:t>ribotoji garantija netaikoma produktų nemokamoms, bandomosioms, negalutinėms ar beta versijoms ir</w:t>
      </w:r>
    </w:p>
    <w:p w14:paraId="77F1CC4C" w14:textId="77777777" w:rsidR="00F64D0F" w:rsidRPr="00910467" w:rsidRDefault="00F64D0F" w:rsidP="000C6335">
      <w:pPr>
        <w:pStyle w:val="ListParagraph"/>
        <w:numPr>
          <w:ilvl w:val="0"/>
          <w:numId w:val="32"/>
        </w:numPr>
      </w:pPr>
      <w:r>
        <w:t>ribotoji garantija netaikoma problemoms, kurios kilo dėl minimalių sistemos reikalavimų nesilaikymo.</w:t>
      </w:r>
    </w:p>
    <w:p w14:paraId="77F1CC4D" w14:textId="263E0CBA" w:rsidR="00F64D0F" w:rsidRPr="00910467" w:rsidRDefault="00F64D0F" w:rsidP="003D6AC0">
      <w:pPr>
        <w:rPr>
          <w:b/>
          <w:bCs/>
        </w:rPr>
      </w:pPr>
      <w:r>
        <w:rPr>
          <w:b/>
          <w:bCs/>
        </w:rPr>
        <w:t>BE ŠIOS RIBOTOSIOS GARANTIJOS, „MICROSOFT“ NETEIKIA JOKIŲ AIŠKIŲ AR NUMANOMŲ GARANTIJŲ AR SĄLYGŲ. „MICROSOFT“ ATSISAKO VISŲ NUMANOMŲ PAREIŠKIMŲ, GARANTIJŲ AR SĄLYGŲ, ĮSKAITANT GARANTIJŲ DĖL PERKAMUMO, TINKAMUMO KONKREČIAM TIKSLUI, GARANTIJŲ DĖL TINKAMOS KOKYBĖS, NUOSAVYBĖS TEISIŲ AR DĖL PAŽEIDIMO NEBUVIMO.</w:t>
      </w:r>
      <w:r w:rsidR="00700A53">
        <w:rPr>
          <w:b/>
          <w:bCs/>
        </w:rPr>
        <w:t xml:space="preserve"> </w:t>
      </w:r>
      <w:r>
        <w:rPr>
          <w:b/>
          <w:bCs/>
        </w:rPr>
        <w:t xml:space="preserve">ŠIE APRIBOJIMAI BUS TAIKOMI, NEBENT TAI DRAUDŽIA </w:t>
      </w:r>
      <w:r>
        <w:rPr>
          <w:b/>
          <w:bCs/>
        </w:rPr>
        <w:lastRenderedPageBreak/>
        <w:t>TAIKYTINA TEISĖ.</w:t>
      </w:r>
      <w:r w:rsidR="00700A53">
        <w:rPr>
          <w:b/>
          <w:bCs/>
        </w:rPr>
        <w:t xml:space="preserve"> </w:t>
      </w:r>
      <w:r>
        <w:rPr>
          <w:b/>
          <w:bCs/>
        </w:rPr>
        <w:t>Bet kokios garantijos, užtikrinimai ar sąlygos, kurių negalima atsisakyti pagal įstatymus, galioja vienerius metus nuo ribotosios garantijos įsigaliojimo.</w:t>
      </w:r>
    </w:p>
    <w:p w14:paraId="77F1CC4E" w14:textId="77777777" w:rsidR="00F64D0F" w:rsidRPr="00910467" w:rsidRDefault="00F64D0F" w:rsidP="003D6AC0">
      <w:pPr>
        <w:pStyle w:val="Heading1"/>
      </w:pPr>
      <w:r>
        <w:t>3.</w:t>
      </w:r>
      <w:r>
        <w:tab/>
        <w:t>Įstaigos gynimo sutartis.</w:t>
      </w:r>
    </w:p>
    <w:p w14:paraId="77F1CC4F" w14:textId="77777777" w:rsidR="00F64D0F" w:rsidRPr="00910467" w:rsidRDefault="00F64D0F" w:rsidP="003D6AC0">
      <w:r>
        <w:t>Įstaiga gins „Microsoft“ nuo bet kokių pretenzijų, pateiktų nesusijusios trečiosios šalies:</w:t>
      </w:r>
    </w:p>
    <w:p w14:paraId="77F1CC50" w14:textId="0635DD87" w:rsidR="00F64D0F" w:rsidRPr="00910467" w:rsidRDefault="00F64D0F" w:rsidP="003D6AC0">
      <w:pPr>
        <w:pStyle w:val="ListParagraph"/>
        <w:numPr>
          <w:ilvl w:val="0"/>
          <w:numId w:val="2"/>
        </w:numPr>
        <w:ind w:left="1080"/>
      </w:pPr>
      <w:r>
        <w:t>kuriomis teigiama, kad kokie nors Įstaigos duomenys arba ne „Microsoft“ programinė įranga, kurią „Microsoft“ suteikia komerciniu pagrindu Įstaigos vardu, pažeidžia trečiosios šalies patentą, autoriaus teises, prekių ženklo savininko teises arba neteisėtai naudoja jos Komercinę paslaptį; arba</w:t>
      </w:r>
    </w:p>
    <w:p w14:paraId="77F1CC51" w14:textId="7ABF05C8" w:rsidR="00F64D0F" w:rsidRPr="00910467" w:rsidRDefault="00F64D0F" w:rsidP="003D6AC0">
      <w:pPr>
        <w:pStyle w:val="ListParagraph"/>
        <w:numPr>
          <w:ilvl w:val="0"/>
          <w:numId w:val="2"/>
        </w:numPr>
        <w:ind w:left="1080"/>
      </w:pPr>
      <w:r>
        <w:t>kurios kyla pažeidus Priimtino naudojimo strategijos sąlygas, aprašytas Produktų naudojimo teisėse.</w:t>
      </w:r>
    </w:p>
    <w:p w14:paraId="77F1CC52" w14:textId="4C33A2DD" w:rsidR="00F64D0F" w:rsidRPr="00910467" w:rsidRDefault="00F64D0F" w:rsidP="003D6AC0">
      <w:r>
        <w:t>Įstaiga turi sumokti nepalankiu galutiniu teismo sprendimu priteistą (arba pagal taikos sutartį, su kuria Įstaiga sutinka, nustatytą) sumą.</w:t>
      </w:r>
      <w:r w:rsidR="00700A53">
        <w:t xml:space="preserve"> </w:t>
      </w:r>
      <w:r>
        <w:t>Šiame skyriuje pateikiamos išskirtinės „Microsoft“ teisių gynimo nuo šių pretenzijų priemonės.</w:t>
      </w:r>
    </w:p>
    <w:p w14:paraId="77F1CC53" w14:textId="247E4096" w:rsidR="00F64D0F" w:rsidRPr="00910467" w:rsidRDefault="00F64D0F" w:rsidP="003D6AC0">
      <w:r>
        <w:t>„Microsoft“ turi nedelsdama raštu pranešti Įstaigai apie pretenzijas, aprašytas šiame skyriuje.</w:t>
      </w:r>
      <w:r w:rsidR="00700A53">
        <w:t xml:space="preserve"> </w:t>
      </w:r>
      <w:r>
        <w:t>„Microsoft“ privalo (1) suteikti Įstaigai išimtinę teisę kontroliuoti gynybą nuo tokios pretenzijos arba dėl jo susitarti ir (2) teikti pagrįstą pagalbą ginantis nuo pretenzijų.</w:t>
      </w:r>
      <w:r w:rsidR="00700A53">
        <w:t xml:space="preserve"> </w:t>
      </w:r>
      <w:r>
        <w:t>Įstaiga atlygins dėl šios pagalbos teikimo „Microsoft“ patirtas pagrįstas išlaidas.</w:t>
      </w:r>
    </w:p>
    <w:p w14:paraId="77F1CC54" w14:textId="77777777" w:rsidR="00F64D0F" w:rsidRPr="00910467" w:rsidRDefault="00F64D0F" w:rsidP="003D6AC0">
      <w:pPr>
        <w:pStyle w:val="Heading1"/>
      </w:pPr>
      <w:r>
        <w:t>4.</w:t>
      </w:r>
      <w:r>
        <w:tab/>
        <w:t>Atsakomybės ribojimas.</w:t>
      </w:r>
    </w:p>
    <w:p w14:paraId="77F1CC55" w14:textId="756FD745" w:rsidR="00F64D0F" w:rsidRPr="00910467" w:rsidRDefault="00F64D0F" w:rsidP="003D6AC0">
      <w:r>
        <w:t>Tiek, kiek leidžia taikytina teisė, visa kiekvienos šalies, įskaitant jos Susijusias įmones ir rangovus, atsakomybė už visas pretenzijas, pareikštas dėl šios Sutarties, ribojama tiesioginiais nuostoliais, neviršijančiais sumos, kurią Įstaiga turėjo sumokėti už Internete teikiamas paslaugas per 12 mėnesių prieš atsirandant ieškinio priežasčiai; bet bendra šalies atsakomybė už bet kokią Internete teikiamą paslaugą jokiu atveju neviršys sumos, sumokėtos už tą Internete teikiamą paslaugą pagal taikomą Registracijos sutartį.</w:t>
      </w:r>
      <w:r w:rsidR="00700A53">
        <w:t xml:space="preserve"> </w:t>
      </w:r>
      <w:r>
        <w:t>Nemokamų Internete teikiamų paslaugų arba kodo, kurį Įstaiga yra įgaliota pakartotinai platinti trečiosioms šalims be atskiro mokėjimo „Microsoft“, atveju „Microsoft“ atsakomybė ribojama tiesioginiais nuostoliais, kurių viršutinė riba yra 5 000 JAV dolerių.</w:t>
      </w:r>
      <w:r w:rsidR="00700A53">
        <w:t xml:space="preserve"> </w:t>
      </w:r>
      <w:r>
        <w:t>Šie apribojimai taikomi nepaisant to, ar tokia atsakomybė grindžiama sutarties pažeidimu, civilinės teisės pažeidimu (įskaitant neatsargumą), atsakomybe be kaltės, garantijų pažeidimu ar bet kokia kita teisės teorija.</w:t>
      </w:r>
      <w:r w:rsidR="00700A53">
        <w:t xml:space="preserve"> </w:t>
      </w:r>
      <w:r>
        <w:t>Bet šiame skyriuje nurodyti apribojimai netaikomi:</w:t>
      </w:r>
    </w:p>
    <w:p w14:paraId="77F1CC56" w14:textId="77777777" w:rsidR="00F64D0F" w:rsidRPr="00910467" w:rsidRDefault="00F64D0F" w:rsidP="003D6AC0">
      <w:pPr>
        <w:pStyle w:val="ListParagraph"/>
        <w:numPr>
          <w:ilvl w:val="0"/>
          <w:numId w:val="1"/>
        </w:numPr>
        <w:ind w:left="1080"/>
      </w:pPr>
      <w:r>
        <w:t>„Microsoft“ įsipareigojimams, nurodytiems šios Sutarties skyriuje „Gynyba nuo ieškinių dėl pažeidimo, neteisėto pasisavinimo ir trečiųjų šalių ieškinių“, ar Įstaigos įsipareigojimams, nurodytiems šių Papildomų sąlygų skyriuje „Įstaigos gynimo sutartis“;</w:t>
      </w:r>
    </w:p>
    <w:p w14:paraId="2BED46C7" w14:textId="2BAECDDE" w:rsidR="00861C56" w:rsidRDefault="00F64D0F" w:rsidP="003D6AC0">
      <w:pPr>
        <w:pStyle w:val="ListParagraph"/>
        <w:numPr>
          <w:ilvl w:val="0"/>
          <w:numId w:val="1"/>
        </w:numPr>
        <w:ind w:left="1080"/>
      </w:pPr>
      <w:r>
        <w:t xml:space="preserve">atsakomybei, kylančiai bet kuriai šaliai pažeidus savo įsipareigojimus, nurodytus Sutarties skyriuje „Konfidencialumas“, išskyrus „Microsoft“ atsakomybę, kylančią dėl Įstaigos duomenų arba su jais susijusią, kuri visais atvejais bus ribojama, kaip numatyta pirmiau, taikytinoms Internete teikiamoms paslaugoms; ir </w:t>
      </w:r>
    </w:p>
    <w:p w14:paraId="77F1CC58" w14:textId="182079DC" w:rsidR="00F64D0F" w:rsidRPr="00910467" w:rsidRDefault="00861C56" w:rsidP="003D6AC0">
      <w:pPr>
        <w:pStyle w:val="ListParagraph"/>
        <w:numPr>
          <w:ilvl w:val="0"/>
          <w:numId w:val="1"/>
        </w:numPr>
        <w:ind w:left="1080"/>
      </w:pPr>
      <w:r>
        <w:t>bet kurios šalies padarytam kitos šalies intelektinės nuosavybės teisių pažeidimui.</w:t>
      </w:r>
    </w:p>
    <w:p w14:paraId="6F417F09" w14:textId="18545AD6" w:rsidR="001D4400" w:rsidRPr="007B6E40" w:rsidRDefault="00F64D0F" w:rsidP="003D6AC0">
      <w:pPr>
        <w:rPr>
          <w:b/>
          <w:bCs/>
        </w:rPr>
      </w:pPr>
      <w:r>
        <w:rPr>
          <w:b/>
          <w:bCs/>
        </w:rPr>
        <w:t>TAIKYTINOS TEISĖS LEISTINA APIMTIMI, KAD IR KOKS BŪTŲ IEŠKINIO TEISINIS PAGRINDAS, NĖ VIENA ŠALIS ARBA SU JA SUSIJUSIOS ĮMONĖS AR RANGOVAI NEATSAKO UŽ NETIESIOGINIUS NUOSTOLIUS, PRIEŽASTINIUS, YPATINGUS AR ATSITIKTINIUS NUOSTOLIUS, NUOSTOLIUS DĖL PELNO AR PAJAMŲ NETEKIMO, VEIKLOS NUTRAUKIMO AR VERSLO INFORMACIJOS PRARADIMO, PATIRTUS DĖL ŠIOS SUTARTIES, NET JEI BUVO ĮSPĖTA APIE TOKIŲ NUOSTOLIŲ GALIMYBĘ AR TOKIA GALIMYBĖ BUVO PAGRĮSTAI NUMATOMA.</w:t>
      </w:r>
      <w:r w:rsidR="00700A53">
        <w:rPr>
          <w:b/>
          <w:bCs/>
        </w:rPr>
        <w:t xml:space="preserve"> </w:t>
      </w:r>
      <w:r>
        <w:rPr>
          <w:b/>
          <w:bCs/>
        </w:rPr>
        <w:t>TAČIAU ŠI IŠIMTIS NETAIKOMA JOKIOS ŠALIES ATSAKOMYBEI KITOS ŠALIES ATŽVILGIU UŽ (1) JOS KONFIDENCIALUMO ĮSIPAREIGOJIMŲ PAŽEIDIMĄ (IŠSKYRUS TAI, KIEK ŠIS PAŽEIDIMAS YRA SUSIJĘS SU ĮSTAIGOS DUOMENIMIS), (2) KITOS ŠALIES INTELEKTINĖS NUOSAVYBĖS TEISIŲ PAŽEIDIMĄ ARBA (3) ĮSIPAREIGOJIMUS, NURODYTUS SUTARTIES SKYRIUJE „GYNYBA NUO IEŠKINIŲ DĖL PAŽEIDIMO, NETEISĖTO PASISAVINIMO IR TREČIŲJŲ ŠALIŲ PRETENZIJŲ“, AR KLIENTO ĮSIPAREIGOJIMUS, NURODYTUS ŠIŲ PAPILDOMŲ SĄLYGŲ SKYRIUJE „ĮSTAIGOS GYNIMO SUTARTIS“.</w:t>
      </w:r>
    </w:p>
    <w:p w14:paraId="77F1CC5E" w14:textId="7395D492" w:rsidR="00F64D0F" w:rsidRPr="00910467" w:rsidRDefault="00F64D0F" w:rsidP="00C947EB">
      <w:pPr>
        <w:pStyle w:val="Heading1"/>
      </w:pPr>
      <w:r>
        <w:lastRenderedPageBreak/>
        <w:t>5.</w:t>
      </w:r>
      <w:r>
        <w:tab/>
        <w:t>Papildomų sąlygų taikomumas</w:t>
      </w:r>
      <w:r w:rsidR="00936C85">
        <w:t>.</w:t>
      </w:r>
    </w:p>
    <w:p w14:paraId="77F1CC5F" w14:textId="736FEDEC" w:rsidR="00437F11" w:rsidRPr="00910467" w:rsidRDefault="00F64D0F" w:rsidP="003D6AC0">
      <w:r>
        <w:t>Šios Papildomos sąlygos Įstaigai taikomos tik Internete teikiamoms paslaugoms pirkti ir naudoti.</w:t>
      </w:r>
      <w:r w:rsidR="00700A53">
        <w:t xml:space="preserve"> </w:t>
      </w:r>
      <w:r>
        <w:t>Paslaugoms (pvz., konsultavimui arba profesionaliosioms paslaugoms) ir Produktams, išskyrus Internete teikiamas paslaugas, toliau taikomos Sutarties ir (arba) Registracijos sąlygos (kaip taikoma) ir bet kurios kitos čia nurodytos sąlygos.</w:t>
      </w:r>
      <w:r w:rsidR="00700A53">
        <w:t xml:space="preserve"> </w:t>
      </w:r>
      <w:r>
        <w:t>Jei šios Papildomos sąlygos prieštarauja Sutarties ir (arba) Registracijos sutarties sąlygoms ir jei šie prieštaravimai nėra aiškiai išspręsti jų sąlygose, reikia vadovautis šiomis Papildomomis sąlygomis.</w:t>
      </w:r>
    </w:p>
    <w:sectPr w:rsidR="00437F11" w:rsidRPr="00910467" w:rsidSect="00934CEC">
      <w:type w:val="continuous"/>
      <w:pgSz w:w="11907" w:h="16839" w:code="9"/>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14A692" w14:textId="77777777" w:rsidR="0018485C" w:rsidRDefault="0018485C" w:rsidP="00437F11">
      <w:pPr>
        <w:spacing w:before="0"/>
      </w:pPr>
      <w:r>
        <w:separator/>
      </w:r>
    </w:p>
  </w:endnote>
  <w:endnote w:type="continuationSeparator" w:id="0">
    <w:p w14:paraId="2A6CB3A0" w14:textId="77777777" w:rsidR="0018485C" w:rsidRDefault="0018485C" w:rsidP="00437F11">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Yu Gothic"/>
    <w:panose1 w:val="020B0500000000000000"/>
    <w:charset w:val="80"/>
    <w:family w:val="modern"/>
    <w:pitch w:val="fixed"/>
    <w:sig w:usb0="E00002FF" w:usb1="6AC7FDFB" w:usb2="00000012" w:usb3="00000000" w:csb0="000200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F67BD4" w14:textId="77777777" w:rsidR="00172D4D" w:rsidRDefault="00172D4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951"/>
      <w:gridCol w:w="4078"/>
    </w:tblGrid>
    <w:tr w:rsidR="00990918" w:rsidRPr="006C777F" w14:paraId="77F1CC67" w14:textId="77777777" w:rsidTr="006E4C4B">
      <w:trPr>
        <w:jc w:val="center"/>
      </w:trPr>
      <w:tc>
        <w:tcPr>
          <w:tcW w:w="4951" w:type="dxa"/>
        </w:tcPr>
        <w:p w14:paraId="77F1CC64" w14:textId="2BF500B7" w:rsidR="00990918" w:rsidRPr="006C777F" w:rsidRDefault="006200A9" w:rsidP="006C777F">
          <w:pPr>
            <w:pStyle w:val="Footer"/>
            <w:jc w:val="left"/>
            <w:rPr>
              <w:rFonts w:cs="Arial"/>
              <w:sz w:val="16"/>
              <w:szCs w:val="16"/>
              <w:lang w:val="en-US" w:eastAsia="ja-JP" w:bidi="ar-SA"/>
            </w:rPr>
          </w:pPr>
          <w:r w:rsidRPr="006C777F">
            <w:rPr>
              <w:rFonts w:cs="Arial"/>
              <w:sz w:val="16"/>
              <w:szCs w:val="16"/>
              <w:lang w:val="en-US" w:eastAsia="ja-JP" w:bidi="ar-SA"/>
            </w:rPr>
            <w:t>SuppTsandCsForOLS(Aca)(WW)(</w:t>
          </w:r>
          <w:r w:rsidR="006C777F">
            <w:rPr>
              <w:rFonts w:cs="Arial"/>
              <w:sz w:val="16"/>
              <w:szCs w:val="16"/>
              <w:lang w:val="en-US" w:eastAsia="ja-JP" w:bidi="ar-SA"/>
            </w:rPr>
            <w:t>LIT</w:t>
          </w:r>
          <w:r w:rsidRPr="006C777F">
            <w:rPr>
              <w:rFonts w:cs="Arial"/>
              <w:sz w:val="16"/>
              <w:szCs w:val="16"/>
              <w:lang w:val="en-US" w:eastAsia="ja-JP" w:bidi="ar-SA"/>
            </w:rPr>
            <w:t>)(Aug2016)</w:t>
          </w:r>
        </w:p>
      </w:tc>
      <w:tc>
        <w:tcPr>
          <w:tcW w:w="4078" w:type="dxa"/>
        </w:tcPr>
        <w:p w14:paraId="77F1CC65" w14:textId="3585FFC2" w:rsidR="00990918" w:rsidRDefault="00990918" w:rsidP="00C2432C">
          <w:pPr>
            <w:spacing w:before="0"/>
            <w:jc w:val="right"/>
            <w:rPr>
              <w:sz w:val="16"/>
              <w:szCs w:val="16"/>
              <w:lang w:val="en-US" w:eastAsia="ja-JP" w:bidi="ar-SA"/>
            </w:rPr>
          </w:pPr>
          <w:r w:rsidRPr="006C777F">
            <w:rPr>
              <w:sz w:val="16"/>
              <w:szCs w:val="16"/>
              <w:lang w:val="en-US" w:eastAsia="ja-JP" w:bidi="ar-SA"/>
            </w:rPr>
            <w:t xml:space="preserve">Page </w:t>
          </w:r>
          <w:r w:rsidRPr="006C777F">
            <w:rPr>
              <w:sz w:val="16"/>
              <w:szCs w:val="16"/>
              <w:lang w:val="en-US" w:eastAsia="ja-JP" w:bidi="ar-SA"/>
            </w:rPr>
            <w:fldChar w:fldCharType="begin"/>
          </w:r>
          <w:r w:rsidRPr="006C777F">
            <w:rPr>
              <w:sz w:val="16"/>
              <w:szCs w:val="16"/>
              <w:lang w:val="en-US" w:eastAsia="ja-JP" w:bidi="ar-SA"/>
            </w:rPr>
            <w:instrText xml:space="preserve"> PAGE </w:instrText>
          </w:r>
          <w:r w:rsidRPr="006C777F">
            <w:rPr>
              <w:sz w:val="16"/>
              <w:szCs w:val="16"/>
              <w:lang w:val="en-US" w:eastAsia="ja-JP" w:bidi="ar-SA"/>
            </w:rPr>
            <w:fldChar w:fldCharType="separate"/>
          </w:r>
          <w:r w:rsidR="00172D4D">
            <w:rPr>
              <w:noProof/>
              <w:sz w:val="16"/>
              <w:szCs w:val="16"/>
              <w:lang w:val="en-US" w:eastAsia="ja-JP" w:bidi="ar-SA"/>
            </w:rPr>
            <w:t>2</w:t>
          </w:r>
          <w:r w:rsidRPr="006C777F">
            <w:rPr>
              <w:sz w:val="16"/>
              <w:szCs w:val="16"/>
              <w:lang w:val="en-US" w:eastAsia="ja-JP" w:bidi="ar-SA"/>
            </w:rPr>
            <w:fldChar w:fldCharType="end"/>
          </w:r>
          <w:r w:rsidRPr="006C777F">
            <w:rPr>
              <w:sz w:val="16"/>
              <w:szCs w:val="16"/>
              <w:lang w:val="en-US" w:eastAsia="ja-JP" w:bidi="ar-SA"/>
            </w:rPr>
            <w:t xml:space="preserve"> of </w:t>
          </w:r>
          <w:r w:rsidRPr="006C777F">
            <w:rPr>
              <w:sz w:val="16"/>
              <w:szCs w:val="16"/>
              <w:lang w:val="en-US" w:eastAsia="ja-JP" w:bidi="ar-SA"/>
            </w:rPr>
            <w:fldChar w:fldCharType="begin"/>
          </w:r>
          <w:r w:rsidRPr="006C777F">
            <w:rPr>
              <w:sz w:val="16"/>
              <w:szCs w:val="16"/>
              <w:lang w:val="en-US" w:eastAsia="ja-JP" w:bidi="ar-SA"/>
            </w:rPr>
            <w:instrText xml:space="preserve"> NUMPAGES  </w:instrText>
          </w:r>
          <w:r w:rsidRPr="006C777F">
            <w:rPr>
              <w:sz w:val="16"/>
              <w:szCs w:val="16"/>
              <w:lang w:val="en-US" w:eastAsia="ja-JP" w:bidi="ar-SA"/>
            </w:rPr>
            <w:fldChar w:fldCharType="separate"/>
          </w:r>
          <w:r w:rsidR="00172D4D">
            <w:rPr>
              <w:noProof/>
              <w:sz w:val="16"/>
              <w:szCs w:val="16"/>
              <w:lang w:val="en-US" w:eastAsia="ja-JP" w:bidi="ar-SA"/>
            </w:rPr>
            <w:t>3</w:t>
          </w:r>
          <w:r w:rsidRPr="006C777F">
            <w:rPr>
              <w:sz w:val="16"/>
              <w:szCs w:val="16"/>
              <w:lang w:val="en-US" w:eastAsia="ja-JP" w:bidi="ar-SA"/>
            </w:rPr>
            <w:fldChar w:fldCharType="end"/>
          </w:r>
        </w:p>
        <w:p w14:paraId="202D0D4D" w14:textId="5330338C" w:rsidR="00172D4D" w:rsidRPr="006C777F" w:rsidRDefault="00172D4D" w:rsidP="00C2432C">
          <w:pPr>
            <w:spacing w:before="0"/>
            <w:jc w:val="right"/>
            <w:rPr>
              <w:sz w:val="16"/>
              <w:szCs w:val="16"/>
              <w:lang w:val="en-US" w:eastAsia="ja-JP" w:bidi="ar-SA"/>
            </w:rPr>
          </w:pPr>
          <w:r>
            <w:rPr>
              <w:sz w:val="16"/>
              <w:szCs w:val="16"/>
              <w:lang w:val="en-US" w:eastAsia="ja-JP" w:bidi="ar-SA"/>
            </w:rPr>
            <w:t xml:space="preserve">Document </w:t>
          </w:r>
          <w:r w:rsidRPr="00172D4D">
            <w:rPr>
              <w:sz w:val="16"/>
              <w:szCs w:val="16"/>
              <w:lang w:val="en-US" w:eastAsia="ja-JP" w:bidi="ar-SA"/>
            </w:rPr>
            <w:t>X20-14389</w:t>
          </w:r>
          <w:bookmarkStart w:id="0" w:name="_GoBack"/>
          <w:bookmarkEnd w:id="0"/>
        </w:p>
        <w:p w14:paraId="77F1CC66" w14:textId="77777777" w:rsidR="00990918" w:rsidRPr="006C777F" w:rsidRDefault="00990918" w:rsidP="00C2432C">
          <w:pPr>
            <w:pStyle w:val="Footer"/>
            <w:jc w:val="right"/>
            <w:rPr>
              <w:rFonts w:cs="Arial"/>
              <w:sz w:val="16"/>
              <w:szCs w:val="16"/>
              <w:lang w:val="en-US" w:eastAsia="ja-JP" w:bidi="ar-SA"/>
            </w:rPr>
          </w:pPr>
        </w:p>
      </w:tc>
    </w:tr>
  </w:tbl>
  <w:p w14:paraId="77F1CC68" w14:textId="77777777" w:rsidR="00990918" w:rsidRPr="006C777F" w:rsidRDefault="00990918">
    <w:pPr>
      <w:pStyle w:val="Footer"/>
      <w:rPr>
        <w:rFonts w:cs="Arial"/>
        <w:sz w:val="16"/>
        <w:szCs w:val="16"/>
        <w:lang w:val="en-US" w:eastAsia="ja-JP" w:bidi="ar-S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514"/>
      <w:gridCol w:w="4515"/>
    </w:tblGrid>
    <w:tr w:rsidR="00990918" w:rsidRPr="00700A53" w14:paraId="77F1CC6D" w14:textId="77777777" w:rsidTr="00C2432C">
      <w:trPr>
        <w:jc w:val="center"/>
      </w:trPr>
      <w:tc>
        <w:tcPr>
          <w:tcW w:w="4514" w:type="dxa"/>
        </w:tcPr>
        <w:p w14:paraId="77F1CC6A" w14:textId="5FB7E586" w:rsidR="00990918" w:rsidRPr="00700A53" w:rsidRDefault="006D4D74" w:rsidP="00700A53">
          <w:pPr>
            <w:pStyle w:val="Footer"/>
            <w:jc w:val="left"/>
            <w:rPr>
              <w:rFonts w:cs="Arial"/>
              <w:sz w:val="16"/>
              <w:szCs w:val="16"/>
              <w:lang w:val="en-US" w:eastAsia="ja-JP" w:bidi="ar-SA"/>
            </w:rPr>
          </w:pPr>
          <w:r w:rsidRPr="00700A53">
            <w:rPr>
              <w:rFonts w:cs="Arial"/>
              <w:sz w:val="16"/>
              <w:szCs w:val="16"/>
              <w:lang w:val="en-US" w:eastAsia="ja-JP" w:bidi="ar-SA"/>
            </w:rPr>
            <w:t>SuppTsandCsForOLS(Aca)(WW)(</w:t>
          </w:r>
          <w:r w:rsidR="00700A53">
            <w:rPr>
              <w:rFonts w:cs="Arial"/>
              <w:sz w:val="16"/>
              <w:szCs w:val="16"/>
              <w:lang w:val="en-US" w:eastAsia="ja-JP" w:bidi="ar-SA"/>
            </w:rPr>
            <w:t>LIT</w:t>
          </w:r>
          <w:r w:rsidRPr="00700A53">
            <w:rPr>
              <w:rFonts w:cs="Arial"/>
              <w:sz w:val="16"/>
              <w:szCs w:val="16"/>
              <w:lang w:val="en-US" w:eastAsia="ja-JP" w:bidi="ar-SA"/>
            </w:rPr>
            <w:t>)(Aug2016)</w:t>
          </w:r>
        </w:p>
      </w:tc>
      <w:tc>
        <w:tcPr>
          <w:tcW w:w="4515" w:type="dxa"/>
        </w:tcPr>
        <w:p w14:paraId="77F1CC6B" w14:textId="4B21C0E0" w:rsidR="00990918" w:rsidRDefault="00990918" w:rsidP="00C2432C">
          <w:pPr>
            <w:spacing w:before="0"/>
            <w:jc w:val="right"/>
            <w:rPr>
              <w:sz w:val="16"/>
              <w:szCs w:val="16"/>
              <w:lang w:val="en-US" w:eastAsia="ja-JP" w:bidi="ar-SA"/>
            </w:rPr>
          </w:pPr>
          <w:r w:rsidRPr="00700A53">
            <w:rPr>
              <w:sz w:val="16"/>
              <w:szCs w:val="16"/>
              <w:lang w:val="en-US" w:eastAsia="ja-JP" w:bidi="ar-SA"/>
            </w:rPr>
            <w:t xml:space="preserve">Page </w:t>
          </w:r>
          <w:r w:rsidRPr="00700A53">
            <w:rPr>
              <w:sz w:val="16"/>
              <w:szCs w:val="16"/>
              <w:lang w:val="en-US" w:eastAsia="ja-JP" w:bidi="ar-SA"/>
            </w:rPr>
            <w:fldChar w:fldCharType="begin"/>
          </w:r>
          <w:r w:rsidRPr="00700A53">
            <w:rPr>
              <w:sz w:val="16"/>
              <w:szCs w:val="16"/>
              <w:lang w:val="en-US" w:eastAsia="ja-JP" w:bidi="ar-SA"/>
            </w:rPr>
            <w:instrText xml:space="preserve"> PAGE </w:instrText>
          </w:r>
          <w:r w:rsidRPr="00700A53">
            <w:rPr>
              <w:sz w:val="16"/>
              <w:szCs w:val="16"/>
              <w:lang w:val="en-US" w:eastAsia="ja-JP" w:bidi="ar-SA"/>
            </w:rPr>
            <w:fldChar w:fldCharType="separate"/>
          </w:r>
          <w:r w:rsidR="00172D4D">
            <w:rPr>
              <w:noProof/>
              <w:sz w:val="16"/>
              <w:szCs w:val="16"/>
              <w:lang w:val="en-US" w:eastAsia="ja-JP" w:bidi="ar-SA"/>
            </w:rPr>
            <w:t>1</w:t>
          </w:r>
          <w:r w:rsidRPr="00700A53">
            <w:rPr>
              <w:sz w:val="16"/>
              <w:szCs w:val="16"/>
              <w:lang w:val="en-US" w:eastAsia="ja-JP" w:bidi="ar-SA"/>
            </w:rPr>
            <w:fldChar w:fldCharType="end"/>
          </w:r>
          <w:r w:rsidRPr="00700A53">
            <w:rPr>
              <w:sz w:val="16"/>
              <w:szCs w:val="16"/>
              <w:lang w:val="en-US" w:eastAsia="ja-JP" w:bidi="ar-SA"/>
            </w:rPr>
            <w:t xml:space="preserve"> of </w:t>
          </w:r>
          <w:r w:rsidRPr="00700A53">
            <w:rPr>
              <w:sz w:val="16"/>
              <w:szCs w:val="16"/>
              <w:lang w:val="en-US" w:eastAsia="ja-JP" w:bidi="ar-SA"/>
            </w:rPr>
            <w:fldChar w:fldCharType="begin"/>
          </w:r>
          <w:r w:rsidRPr="00700A53">
            <w:rPr>
              <w:sz w:val="16"/>
              <w:szCs w:val="16"/>
              <w:lang w:val="en-US" w:eastAsia="ja-JP" w:bidi="ar-SA"/>
            </w:rPr>
            <w:instrText xml:space="preserve"> NUMPAGES  </w:instrText>
          </w:r>
          <w:r w:rsidRPr="00700A53">
            <w:rPr>
              <w:sz w:val="16"/>
              <w:szCs w:val="16"/>
              <w:lang w:val="en-US" w:eastAsia="ja-JP" w:bidi="ar-SA"/>
            </w:rPr>
            <w:fldChar w:fldCharType="separate"/>
          </w:r>
          <w:r w:rsidR="00172D4D">
            <w:rPr>
              <w:noProof/>
              <w:sz w:val="16"/>
              <w:szCs w:val="16"/>
              <w:lang w:val="en-US" w:eastAsia="ja-JP" w:bidi="ar-SA"/>
            </w:rPr>
            <w:t>3</w:t>
          </w:r>
          <w:r w:rsidRPr="00700A53">
            <w:rPr>
              <w:sz w:val="16"/>
              <w:szCs w:val="16"/>
              <w:lang w:val="en-US" w:eastAsia="ja-JP" w:bidi="ar-SA"/>
            </w:rPr>
            <w:fldChar w:fldCharType="end"/>
          </w:r>
        </w:p>
        <w:p w14:paraId="69F435A9" w14:textId="5DE5DEBC" w:rsidR="00172D4D" w:rsidRPr="00700A53" w:rsidRDefault="00172D4D" w:rsidP="00C2432C">
          <w:pPr>
            <w:spacing w:before="0"/>
            <w:jc w:val="right"/>
            <w:rPr>
              <w:sz w:val="16"/>
              <w:szCs w:val="16"/>
              <w:lang w:val="en-US" w:eastAsia="ja-JP" w:bidi="ar-SA"/>
            </w:rPr>
          </w:pPr>
          <w:r>
            <w:rPr>
              <w:sz w:val="16"/>
              <w:szCs w:val="16"/>
              <w:lang w:val="en-US" w:eastAsia="ja-JP" w:bidi="ar-SA"/>
            </w:rPr>
            <w:t xml:space="preserve">Document </w:t>
          </w:r>
          <w:r w:rsidRPr="00172D4D">
            <w:rPr>
              <w:sz w:val="16"/>
              <w:szCs w:val="16"/>
              <w:lang w:val="en-US" w:eastAsia="ja-JP" w:bidi="ar-SA"/>
            </w:rPr>
            <w:t>X20-14389</w:t>
          </w:r>
        </w:p>
        <w:p w14:paraId="77F1CC6C" w14:textId="77777777" w:rsidR="00990918" w:rsidRPr="00700A53" w:rsidRDefault="00990918" w:rsidP="00C2432C">
          <w:pPr>
            <w:pStyle w:val="Footer"/>
            <w:jc w:val="right"/>
            <w:rPr>
              <w:rFonts w:cs="Arial"/>
              <w:sz w:val="16"/>
              <w:szCs w:val="16"/>
              <w:lang w:val="en-US" w:eastAsia="ja-JP" w:bidi="ar-SA"/>
            </w:rPr>
          </w:pPr>
        </w:p>
      </w:tc>
    </w:tr>
  </w:tbl>
  <w:p w14:paraId="77F1CC6E" w14:textId="77777777" w:rsidR="00990918" w:rsidRPr="00700A53" w:rsidRDefault="00990918">
    <w:pPr>
      <w:pStyle w:val="Footer"/>
      <w:rPr>
        <w:rFonts w:cs="Arial"/>
        <w:sz w:val="16"/>
        <w:szCs w:val="16"/>
        <w:lang w:val="en-US" w:eastAsia="ja-JP"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6B234DE" w14:textId="77777777" w:rsidR="0018485C" w:rsidRDefault="0018485C" w:rsidP="00437F11">
      <w:pPr>
        <w:spacing w:before="0"/>
      </w:pPr>
      <w:r>
        <w:separator/>
      </w:r>
    </w:p>
  </w:footnote>
  <w:footnote w:type="continuationSeparator" w:id="0">
    <w:p w14:paraId="203BF740" w14:textId="77777777" w:rsidR="0018485C" w:rsidRDefault="0018485C" w:rsidP="00437F11">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9A1ADF" w14:textId="77777777" w:rsidR="00172D4D" w:rsidRDefault="00172D4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2CD60E" w14:textId="1D351F32" w:rsidR="005D6913" w:rsidRDefault="005D6913">
    <w:pPr>
      <w:pStyle w:val="Header"/>
    </w:pPr>
    <w:r>
      <w:rPr>
        <w:noProof/>
        <w:lang w:val="en-US" w:eastAsia="en-US" w:bidi="ar-SA"/>
      </w:rPr>
      <w:drawing>
        <wp:anchor distT="0" distB="0" distL="114300" distR="114300" simplePos="0" relativeHeight="251658240" behindDoc="0" locked="0" layoutInCell="1" allowOverlap="1" wp14:anchorId="16522E90" wp14:editId="30002444">
          <wp:simplePos x="914400" y="457200"/>
          <wp:positionH relativeFrom="margin">
            <wp:align>center</wp:align>
          </wp:positionH>
          <wp:positionV relativeFrom="margin">
            <wp:align>center</wp:align>
          </wp:positionV>
          <wp:extent cx="5669280" cy="3195955"/>
          <wp:effectExtent l="0" t="0" r="7620" b="4445"/>
          <wp:wrapNone/>
          <wp:docPr id="10"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F1CC69" w14:textId="72A58331" w:rsidR="00990918" w:rsidRDefault="005D6913" w:rsidP="001A6164">
    <w:pPr>
      <w:pStyle w:val="Header"/>
      <w:jc w:val="right"/>
    </w:pPr>
    <w:r>
      <w:rPr>
        <w:noProof/>
        <w:lang w:val="en-US" w:eastAsia="en-US" w:bidi="ar-SA"/>
      </w:rPr>
      <w:drawing>
        <wp:anchor distT="0" distB="0" distL="114300" distR="114300" simplePos="0" relativeHeight="251659264" behindDoc="0" locked="0" layoutInCell="1" allowOverlap="1" wp14:anchorId="2A669D86" wp14:editId="46F9B7AE">
          <wp:simplePos x="0" y="0"/>
          <wp:positionH relativeFrom="margin">
            <wp:align>center</wp:align>
          </wp:positionH>
          <wp:positionV relativeFrom="margin">
            <wp:align>center</wp:align>
          </wp:positionV>
          <wp:extent cx="5667375" cy="3200400"/>
          <wp:effectExtent l="0" t="0" r="9525" b="0"/>
          <wp:wrapNone/>
          <wp:docPr id="11"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r>
      <w:rPr>
        <w:noProof/>
        <w:lang w:val="en-US" w:eastAsia="en-US" w:bidi="ar-SA"/>
      </w:rPr>
      <w:drawing>
        <wp:inline distT="0" distB="0" distL="0" distR="0" wp14:anchorId="1F249ECF" wp14:editId="7A442EE0">
          <wp:extent cx="5724525" cy="561975"/>
          <wp:effectExtent l="0" t="0" r="0" b="9525"/>
          <wp:docPr id="12" name="Picture 12" descr="C:\Users\v-kafurt\Desktop\new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afurt\Desktop\new head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26078"/>
    <w:multiLevelType w:val="hybridMultilevel"/>
    <w:tmpl w:val="165E7EB2"/>
    <w:lvl w:ilvl="0" w:tplc="F7809186">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4E150AC"/>
    <w:multiLevelType w:val="hybridMultilevel"/>
    <w:tmpl w:val="F1A256DC"/>
    <w:lvl w:ilvl="0" w:tplc="0409001B">
      <w:start w:val="1"/>
      <w:numFmt w:val="lowerRoman"/>
      <w:lvlText w:val="%1."/>
      <w:lvlJc w:val="right"/>
      <w:pPr>
        <w:ind w:left="1440" w:hanging="360"/>
      </w:pPr>
    </w:lvl>
    <w:lvl w:ilvl="1" w:tplc="8AEAA9FA">
      <w:start w:val="1"/>
      <w:numFmt w:val="lowerRoman"/>
      <w:lvlText w:val="%2."/>
      <w:lvlJc w:val="right"/>
      <w:pPr>
        <w:ind w:left="2160" w:hanging="360"/>
      </w:pPr>
      <w:rPr>
        <w:rFonts w:ascii="Arial" w:hAnsi="Arial"/>
        <w:sz w:val="18"/>
        <w:u w:val="none"/>
      </w:rPr>
    </w:lvl>
    <w:lvl w:ilvl="2" w:tplc="4560C8BC">
      <w:start w:val="12"/>
      <w:numFmt w:val="decimal"/>
      <w:lvlText w:val="%3."/>
      <w:lvlJc w:val="left"/>
      <w:pPr>
        <w:ind w:left="3060" w:hanging="36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5FF4032"/>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 w15:restartNumberingAfterBreak="0">
    <w:nsid w:val="09AD54F5"/>
    <w:multiLevelType w:val="hybridMultilevel"/>
    <w:tmpl w:val="F4588776"/>
    <w:lvl w:ilvl="0" w:tplc="6DB8C9E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AE04CA"/>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5" w15:restartNumberingAfterBreak="0">
    <w:nsid w:val="13874A9A"/>
    <w:multiLevelType w:val="hybridMultilevel"/>
    <w:tmpl w:val="81203D28"/>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50B0B26"/>
    <w:multiLevelType w:val="hybridMultilevel"/>
    <w:tmpl w:val="AC0CB6A8"/>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252DD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8" w15:restartNumberingAfterBreak="0">
    <w:nsid w:val="1F315375"/>
    <w:multiLevelType w:val="hybridMultilevel"/>
    <w:tmpl w:val="25E8BAD0"/>
    <w:lvl w:ilvl="0" w:tplc="3E304CD2">
      <w:start w:val="1"/>
      <w:numFmt w:val="lowerRoman"/>
      <w:lvlText w:val="(%1)"/>
      <w:lvlJc w:val="left"/>
      <w:pPr>
        <w:ind w:left="2520" w:hanging="360"/>
      </w:pPr>
      <w:rPr>
        <w:rFonts w:hint="default"/>
        <w:b/>
        <w:bCs/>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1F3B58AA"/>
    <w:multiLevelType w:val="hybridMultilevel"/>
    <w:tmpl w:val="092C3A86"/>
    <w:lvl w:ilvl="0" w:tplc="C662405A">
      <w:start w:val="5"/>
      <w:numFmt w:val="lowerLetter"/>
      <w:lvlText w:val="%1."/>
      <w:lvlJc w:val="left"/>
      <w:pPr>
        <w:tabs>
          <w:tab w:val="num" w:pos="1080"/>
        </w:tabs>
        <w:ind w:left="1080" w:hanging="360"/>
      </w:pPr>
      <w:rPr>
        <w:rFonts w:hint="default"/>
      </w:rPr>
    </w:lvl>
    <w:lvl w:ilvl="1" w:tplc="7FDA6426">
      <w:start w:val="1"/>
      <w:numFmt w:val="lowerRoman"/>
      <w:lvlText w:val="(%2)"/>
      <w:lvlJc w:val="left"/>
      <w:pPr>
        <w:ind w:left="2160" w:hanging="72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22FF4B6A"/>
    <w:multiLevelType w:val="hybridMultilevel"/>
    <w:tmpl w:val="AADE7CC8"/>
    <w:lvl w:ilvl="0" w:tplc="7FDA6426">
      <w:start w:val="1"/>
      <w:numFmt w:val="lowerRoman"/>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2960729E"/>
    <w:multiLevelType w:val="hybridMultilevel"/>
    <w:tmpl w:val="5F5A907E"/>
    <w:lvl w:ilvl="0" w:tplc="BD806286">
      <w:start w:val="1"/>
      <w:numFmt w:val="lowerLetter"/>
      <w:lvlText w:val="%1."/>
      <w:lvlJc w:val="left"/>
      <w:pPr>
        <w:ind w:left="720" w:hanging="360"/>
      </w:pPr>
      <w:rPr>
        <w:rFonts w:hint="default"/>
        <w:b/>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0802C0"/>
    <w:multiLevelType w:val="hybridMultilevel"/>
    <w:tmpl w:val="525890FC"/>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0446D3"/>
    <w:multiLevelType w:val="hybridMultilevel"/>
    <w:tmpl w:val="C342546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F0B00BC"/>
    <w:multiLevelType w:val="multilevel"/>
    <w:tmpl w:val="3EEC733C"/>
    <w:lvl w:ilvl="0">
      <w:start w:val="3"/>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4"/>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5" w15:restartNumberingAfterBreak="0">
    <w:nsid w:val="45DB1984"/>
    <w:multiLevelType w:val="hybridMultilevel"/>
    <w:tmpl w:val="05D4E7D6"/>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CD25F55"/>
    <w:multiLevelType w:val="multilevel"/>
    <w:tmpl w:val="5BE496E8"/>
    <w:lvl w:ilvl="0">
      <w:start w:val="1"/>
      <w:numFmt w:val="decimal"/>
      <w:lvlText w:val="%1."/>
      <w:lvlJc w:val="left"/>
      <w:pPr>
        <w:tabs>
          <w:tab w:val="num" w:pos="360"/>
        </w:tabs>
        <w:ind w:left="360" w:hanging="360"/>
      </w:pPr>
      <w:rPr>
        <w:rFonts w:hint="default"/>
        <w:b/>
        <w:bCs/>
        <w:i/>
        <w:iCs/>
        <w:sz w:val="26"/>
        <w:szCs w:val="26"/>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503379B7"/>
    <w:multiLevelType w:val="hybridMultilevel"/>
    <w:tmpl w:val="79C03664"/>
    <w:lvl w:ilvl="0" w:tplc="3E304CD2">
      <w:start w:val="1"/>
      <w:numFmt w:val="lowerRoman"/>
      <w:lvlText w:val="(%1)"/>
      <w:lvlJc w:val="left"/>
      <w:pPr>
        <w:ind w:left="2700" w:hanging="360"/>
      </w:pPr>
      <w:rPr>
        <w:rFonts w:hint="default"/>
        <w:b/>
        <w:bCs/>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18" w15:restartNumberingAfterBreak="0">
    <w:nsid w:val="50A16622"/>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9" w15:restartNumberingAfterBreak="0">
    <w:nsid w:val="514C148F"/>
    <w:multiLevelType w:val="multilevel"/>
    <w:tmpl w:val="092C3A86"/>
    <w:lvl w:ilvl="0">
      <w:start w:val="5"/>
      <w:numFmt w:val="lowerLetter"/>
      <w:lvlText w:val="%1."/>
      <w:lvlJc w:val="left"/>
      <w:pPr>
        <w:tabs>
          <w:tab w:val="num" w:pos="1080"/>
        </w:tabs>
        <w:ind w:left="1080" w:hanging="360"/>
      </w:pPr>
      <w:rPr>
        <w:rFonts w:hint="default"/>
      </w:rPr>
    </w:lvl>
    <w:lvl w:ilvl="1">
      <w:start w:val="1"/>
      <w:numFmt w:val="lowerRoman"/>
      <w:lvlText w:val="(%2)"/>
      <w:lvlJc w:val="left"/>
      <w:pPr>
        <w:ind w:left="2160" w:hanging="720"/>
      </w:pPr>
      <w:rPr>
        <w:rFonts w:hint="default"/>
      </w:rPr>
    </w:lvl>
    <w:lvl w:ilvl="2" w:tentative="1">
      <w:start w:val="1"/>
      <w:numFmt w:val="lowerRoman"/>
      <w:lvlText w:val="%3."/>
      <w:lvlJc w:val="right"/>
      <w:pPr>
        <w:tabs>
          <w:tab w:val="num" w:pos="2520"/>
        </w:tabs>
        <w:ind w:left="2520" w:hanging="180"/>
      </w:pPr>
    </w:lvl>
    <w:lvl w:ilvl="3" w:tentative="1">
      <w:start w:val="1"/>
      <w:numFmt w:val="decimal"/>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Roman"/>
      <w:lvlText w:val="%6."/>
      <w:lvlJc w:val="right"/>
      <w:pPr>
        <w:tabs>
          <w:tab w:val="num" w:pos="4680"/>
        </w:tabs>
        <w:ind w:left="4680" w:hanging="180"/>
      </w:pPr>
    </w:lvl>
    <w:lvl w:ilvl="6" w:tentative="1">
      <w:start w:val="1"/>
      <w:numFmt w:val="decimal"/>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Roman"/>
      <w:lvlText w:val="%9."/>
      <w:lvlJc w:val="right"/>
      <w:pPr>
        <w:tabs>
          <w:tab w:val="num" w:pos="6840"/>
        </w:tabs>
        <w:ind w:left="6840" w:hanging="180"/>
      </w:pPr>
    </w:lvl>
  </w:abstractNum>
  <w:abstractNum w:abstractNumId="20" w15:restartNumberingAfterBreak="0">
    <w:nsid w:val="559B7607"/>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1" w15:restartNumberingAfterBreak="0">
    <w:nsid w:val="571B6733"/>
    <w:multiLevelType w:val="multilevel"/>
    <w:tmpl w:val="3AB0E054"/>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left"/>
      <w:pPr>
        <w:tabs>
          <w:tab w:val="num" w:pos="2160"/>
        </w:tabs>
        <w:ind w:left="2160" w:hanging="180"/>
      </w:pPr>
      <w:rPr>
        <w:rFonts w:hint="default"/>
        <w:b/>
        <w:bCs/>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2" w15:restartNumberingAfterBreak="0">
    <w:nsid w:val="58E92C4D"/>
    <w:multiLevelType w:val="hybridMultilevel"/>
    <w:tmpl w:val="9C90B7BC"/>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911329E"/>
    <w:multiLevelType w:val="hybridMultilevel"/>
    <w:tmpl w:val="1D9C38F6"/>
    <w:lvl w:ilvl="0" w:tplc="3E304CD2">
      <w:start w:val="1"/>
      <w:numFmt w:val="lowerRoman"/>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CEE618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5" w15:restartNumberingAfterBreak="0">
    <w:nsid w:val="64027BE4"/>
    <w:multiLevelType w:val="hybridMultilevel"/>
    <w:tmpl w:val="57D642C4"/>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4E27453"/>
    <w:multiLevelType w:val="multilevel"/>
    <w:tmpl w:val="BF92E946"/>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bCs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7" w15:restartNumberingAfterBreak="0">
    <w:nsid w:val="6EE34DF8"/>
    <w:multiLevelType w:val="hybridMultilevel"/>
    <w:tmpl w:val="09F2E646"/>
    <w:lvl w:ilvl="0" w:tplc="0409000F">
      <w:start w:val="1"/>
      <w:numFmt w:val="decimal"/>
      <w:lvlText w:val="%1."/>
      <w:lvlJc w:val="left"/>
      <w:pPr>
        <w:ind w:left="720" w:hanging="360"/>
      </w:pPr>
      <w:rPr>
        <w:b/>
        <w:bCs/>
        <w:i/>
        <w:iCs/>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1B14B5"/>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9" w15:restartNumberingAfterBreak="0">
    <w:nsid w:val="75EA50C0"/>
    <w:multiLevelType w:val="hybridMultilevel"/>
    <w:tmpl w:val="4BA4637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8C449B9"/>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1" w15:restartNumberingAfterBreak="0">
    <w:nsid w:val="7CB613C4"/>
    <w:multiLevelType w:val="hybridMultilevel"/>
    <w:tmpl w:val="EF729E74"/>
    <w:lvl w:ilvl="0" w:tplc="99D4E280">
      <w:start w:val="1"/>
      <w:numFmt w:val="lowerLetter"/>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29"/>
  </w:num>
  <w:num w:numId="3">
    <w:abstractNumId w:val="6"/>
  </w:num>
  <w:num w:numId="4">
    <w:abstractNumId w:val="30"/>
  </w:num>
  <w:num w:numId="5">
    <w:abstractNumId w:val="20"/>
  </w:num>
  <w:num w:numId="6">
    <w:abstractNumId w:val="7"/>
  </w:num>
  <w:num w:numId="7">
    <w:abstractNumId w:val="24"/>
  </w:num>
  <w:num w:numId="8">
    <w:abstractNumId w:val="26"/>
  </w:num>
  <w:num w:numId="9">
    <w:abstractNumId w:val="4"/>
  </w:num>
  <w:num w:numId="10">
    <w:abstractNumId w:val="14"/>
  </w:num>
  <w:num w:numId="11">
    <w:abstractNumId w:val="9"/>
  </w:num>
  <w:num w:numId="12">
    <w:abstractNumId w:val="1"/>
  </w:num>
  <w:num w:numId="13">
    <w:abstractNumId w:val="16"/>
  </w:num>
  <w:num w:numId="14">
    <w:abstractNumId w:val="2"/>
  </w:num>
  <w:num w:numId="15">
    <w:abstractNumId w:val="18"/>
  </w:num>
  <w:num w:numId="16">
    <w:abstractNumId w:val="19"/>
  </w:num>
  <w:num w:numId="17">
    <w:abstractNumId w:val="28"/>
  </w:num>
  <w:num w:numId="18">
    <w:abstractNumId w:val="10"/>
  </w:num>
  <w:num w:numId="19">
    <w:abstractNumId w:val="8"/>
  </w:num>
  <w:num w:numId="20">
    <w:abstractNumId w:val="21"/>
  </w:num>
  <w:num w:numId="21">
    <w:abstractNumId w:val="31"/>
  </w:num>
  <w:num w:numId="22">
    <w:abstractNumId w:val="11"/>
  </w:num>
  <w:num w:numId="23">
    <w:abstractNumId w:val="0"/>
  </w:num>
  <w:num w:numId="24">
    <w:abstractNumId w:val="5"/>
  </w:num>
  <w:num w:numId="25">
    <w:abstractNumId w:val="15"/>
  </w:num>
  <w:num w:numId="26">
    <w:abstractNumId w:val="23"/>
  </w:num>
  <w:num w:numId="27">
    <w:abstractNumId w:val="17"/>
  </w:num>
  <w:num w:numId="28">
    <w:abstractNumId w:val="12"/>
  </w:num>
  <w:num w:numId="29">
    <w:abstractNumId w:val="22"/>
  </w:num>
  <w:num w:numId="30">
    <w:abstractNumId w:val="25"/>
  </w:num>
  <w:num w:numId="31">
    <w:abstractNumId w:val="27"/>
  </w:num>
  <w:num w:numId="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4D0F"/>
    <w:rsid w:val="00035263"/>
    <w:rsid w:val="00060836"/>
    <w:rsid w:val="0008742F"/>
    <w:rsid w:val="000B5062"/>
    <w:rsid w:val="000C6335"/>
    <w:rsid w:val="000D13BB"/>
    <w:rsid w:val="00141DC8"/>
    <w:rsid w:val="00164638"/>
    <w:rsid w:val="00172014"/>
    <w:rsid w:val="00172D4D"/>
    <w:rsid w:val="0018485C"/>
    <w:rsid w:val="00185239"/>
    <w:rsid w:val="001A6164"/>
    <w:rsid w:val="001A7430"/>
    <w:rsid w:val="001B638F"/>
    <w:rsid w:val="001D4400"/>
    <w:rsid w:val="001D774A"/>
    <w:rsid w:val="002156C2"/>
    <w:rsid w:val="0024027E"/>
    <w:rsid w:val="0024293C"/>
    <w:rsid w:val="00274B46"/>
    <w:rsid w:val="00281C7F"/>
    <w:rsid w:val="002C2889"/>
    <w:rsid w:val="002C2D35"/>
    <w:rsid w:val="00341262"/>
    <w:rsid w:val="00377AA4"/>
    <w:rsid w:val="003D6AC0"/>
    <w:rsid w:val="00437F11"/>
    <w:rsid w:val="00441D37"/>
    <w:rsid w:val="0044736A"/>
    <w:rsid w:val="00467941"/>
    <w:rsid w:val="00494396"/>
    <w:rsid w:val="004B5F7F"/>
    <w:rsid w:val="004C6C05"/>
    <w:rsid w:val="004D3C16"/>
    <w:rsid w:val="004F75DC"/>
    <w:rsid w:val="00504D50"/>
    <w:rsid w:val="005D6913"/>
    <w:rsid w:val="005F56D7"/>
    <w:rsid w:val="006200A9"/>
    <w:rsid w:val="00644566"/>
    <w:rsid w:val="00645085"/>
    <w:rsid w:val="00662273"/>
    <w:rsid w:val="006666BC"/>
    <w:rsid w:val="006731A2"/>
    <w:rsid w:val="006B3E15"/>
    <w:rsid w:val="006C777F"/>
    <w:rsid w:val="006D4D74"/>
    <w:rsid w:val="006E4C4B"/>
    <w:rsid w:val="00700A53"/>
    <w:rsid w:val="00715F80"/>
    <w:rsid w:val="007268BE"/>
    <w:rsid w:val="00727373"/>
    <w:rsid w:val="00727425"/>
    <w:rsid w:val="00732235"/>
    <w:rsid w:val="00737D3E"/>
    <w:rsid w:val="00756EB0"/>
    <w:rsid w:val="00770015"/>
    <w:rsid w:val="007775C0"/>
    <w:rsid w:val="007943AD"/>
    <w:rsid w:val="007A559F"/>
    <w:rsid w:val="007B6E40"/>
    <w:rsid w:val="007D508A"/>
    <w:rsid w:val="00836C19"/>
    <w:rsid w:val="00842612"/>
    <w:rsid w:val="008466D3"/>
    <w:rsid w:val="00861C56"/>
    <w:rsid w:val="0089365F"/>
    <w:rsid w:val="00910467"/>
    <w:rsid w:val="009324C0"/>
    <w:rsid w:val="00934CEC"/>
    <w:rsid w:val="00936C85"/>
    <w:rsid w:val="0095265C"/>
    <w:rsid w:val="0095549D"/>
    <w:rsid w:val="00956A24"/>
    <w:rsid w:val="00977218"/>
    <w:rsid w:val="00990918"/>
    <w:rsid w:val="00990C0E"/>
    <w:rsid w:val="009B607E"/>
    <w:rsid w:val="009C2E77"/>
    <w:rsid w:val="009E7577"/>
    <w:rsid w:val="00A02DFA"/>
    <w:rsid w:val="00A2043D"/>
    <w:rsid w:val="00A71A50"/>
    <w:rsid w:val="00A85772"/>
    <w:rsid w:val="00A95F63"/>
    <w:rsid w:val="00AD56EE"/>
    <w:rsid w:val="00B02E03"/>
    <w:rsid w:val="00B40086"/>
    <w:rsid w:val="00B43977"/>
    <w:rsid w:val="00B52AB8"/>
    <w:rsid w:val="00B56A3E"/>
    <w:rsid w:val="00B73434"/>
    <w:rsid w:val="00BB26E4"/>
    <w:rsid w:val="00BB736D"/>
    <w:rsid w:val="00C172C9"/>
    <w:rsid w:val="00C2432C"/>
    <w:rsid w:val="00C374FE"/>
    <w:rsid w:val="00C613E7"/>
    <w:rsid w:val="00C61AD0"/>
    <w:rsid w:val="00C722B3"/>
    <w:rsid w:val="00C806DD"/>
    <w:rsid w:val="00C823E0"/>
    <w:rsid w:val="00C947EB"/>
    <w:rsid w:val="00D25D25"/>
    <w:rsid w:val="00D369BB"/>
    <w:rsid w:val="00D777BD"/>
    <w:rsid w:val="00D82E50"/>
    <w:rsid w:val="00DB2965"/>
    <w:rsid w:val="00DB6DC3"/>
    <w:rsid w:val="00DF717F"/>
    <w:rsid w:val="00E361C0"/>
    <w:rsid w:val="00E378BA"/>
    <w:rsid w:val="00E74F11"/>
    <w:rsid w:val="00E9342D"/>
    <w:rsid w:val="00EB4DFC"/>
    <w:rsid w:val="00EF0433"/>
    <w:rsid w:val="00EF3D87"/>
    <w:rsid w:val="00F07D18"/>
    <w:rsid w:val="00F64D0F"/>
    <w:rsid w:val="00F6573C"/>
    <w:rsid w:val="00FD546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F1CC3B"/>
  <w:documentProtection w:edit="forms" w:enforcement="true" w:cryptProviderType="rsaFull" w:cryptAlgorithmClass="hash" w:cryptAlgorithmType="typeAny" w:cryptAlgorithmSid="4" w:cryptSpinCount="50000" w:hash="SGgplpkC/bI85f817PvkD68qNh4=" w:salt="Ot3MFaSWaDKNK/gX87/cw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lt-LT" w:eastAsia="lt-LT" w:bidi="lt-LT"/>
      </w:rPr>
    </w:rPrDefault>
    <w:pPrDefault/>
  </w:docDefaults>
  <w:latentStyles w:defLockedState="0" w:defUIPriority="99" w:defSemiHidden="0" w:defUnhideWhenUsed="0" w:defQFormat="0" w:count="373">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64D0F"/>
    <w:pPr>
      <w:spacing w:before="120"/>
      <w:jc w:val="both"/>
    </w:pPr>
    <w:rPr>
      <w:rFonts w:ascii="Arial" w:eastAsia="MS Mincho" w:hAnsi="Arial"/>
    </w:rPr>
  </w:style>
  <w:style w:type="paragraph" w:styleId="Heading1">
    <w:name w:val="heading 1"/>
    <w:basedOn w:val="Normal"/>
    <w:next w:val="Normal"/>
    <w:link w:val="Heading1Char"/>
    <w:qFormat/>
    <w:rsid w:val="00910467"/>
    <w:pPr>
      <w:keepNext/>
      <w:spacing w:before="360"/>
      <w:ind w:left="720" w:hanging="720"/>
      <w:jc w:val="left"/>
      <w:outlineLvl w:val="0"/>
    </w:pPr>
    <w:rPr>
      <w:rFonts w:eastAsia="Times New Roman" w:cs="Times New Roman"/>
      <w:b/>
      <w:bCs/>
      <w:i/>
      <w:kern w:val="32"/>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910467"/>
    <w:rPr>
      <w:rFonts w:ascii="Arial" w:eastAsia="Times New Roman" w:hAnsi="Arial"/>
      <w:b/>
      <w:bCs/>
      <w:i/>
      <w:kern w:val="32"/>
      <w:sz w:val="26"/>
      <w:szCs w:val="26"/>
    </w:rPr>
  </w:style>
  <w:style w:type="paragraph" w:styleId="ListParagraph">
    <w:name w:val="List Paragraph"/>
    <w:basedOn w:val="Normal"/>
    <w:uiPriority w:val="34"/>
    <w:qFormat/>
    <w:rsid w:val="00F64D0F"/>
    <w:pPr>
      <w:ind w:left="720"/>
    </w:pPr>
  </w:style>
  <w:style w:type="paragraph" w:customStyle="1" w:styleId="lettershorty">
    <w:name w:val="lettershorty"/>
    <w:basedOn w:val="Normal"/>
    <w:uiPriority w:val="99"/>
    <w:rsid w:val="007268BE"/>
    <w:pPr>
      <w:tabs>
        <w:tab w:val="left" w:pos="270"/>
        <w:tab w:val="left" w:pos="540"/>
        <w:tab w:val="left" w:pos="810"/>
        <w:tab w:val="left" w:pos="1440"/>
      </w:tabs>
      <w:spacing w:before="0" w:after="96"/>
    </w:pPr>
    <w:rPr>
      <w:rFonts w:ascii="Times New Roman" w:hAnsi="Times New Roman" w:cs="Times New Roman"/>
      <w:sz w:val="18"/>
    </w:rPr>
  </w:style>
  <w:style w:type="paragraph" w:styleId="BodyText2">
    <w:name w:val="Body Text 2"/>
    <w:basedOn w:val="Normal"/>
    <w:link w:val="BodyText2Char"/>
    <w:rsid w:val="007268BE"/>
    <w:pPr>
      <w:spacing w:before="0"/>
    </w:pPr>
    <w:rPr>
      <w:rFonts w:ascii="Garamond" w:hAnsi="Garamond" w:cs="Times New Roman"/>
      <w:sz w:val="24"/>
    </w:rPr>
  </w:style>
  <w:style w:type="character" w:customStyle="1" w:styleId="BodyText2Char">
    <w:name w:val="Body Text 2 Char"/>
    <w:link w:val="BodyText2"/>
    <w:rsid w:val="007268BE"/>
    <w:rPr>
      <w:rFonts w:ascii="Garamond" w:eastAsia="MS Mincho" w:hAnsi="Garamond" w:cs="Times New Roman"/>
      <w:sz w:val="24"/>
      <w:szCs w:val="20"/>
    </w:rPr>
  </w:style>
  <w:style w:type="paragraph" w:styleId="NormalWeb">
    <w:name w:val="Normal (Web)"/>
    <w:basedOn w:val="Normal"/>
    <w:rsid w:val="007268BE"/>
    <w:pPr>
      <w:spacing w:before="100" w:beforeAutospacing="1" w:after="100" w:afterAutospacing="1"/>
      <w:jc w:val="left"/>
    </w:pPr>
    <w:rPr>
      <w:rFonts w:ascii="Times New Roman" w:hAnsi="Times New Roman" w:cs="Times New Roman"/>
      <w:sz w:val="24"/>
      <w:szCs w:val="24"/>
    </w:rPr>
  </w:style>
  <w:style w:type="character" w:styleId="Hyperlink">
    <w:name w:val="Hyperlink"/>
    <w:uiPriority w:val="99"/>
    <w:rsid w:val="007268BE"/>
    <w:rPr>
      <w:rFonts w:cs="Times New Roman"/>
      <w:color w:val="0000FF"/>
      <w:u w:val="single"/>
    </w:rPr>
  </w:style>
  <w:style w:type="character" w:styleId="CommentReference">
    <w:name w:val="annotation reference"/>
    <w:uiPriority w:val="99"/>
    <w:semiHidden/>
    <w:rsid w:val="007268BE"/>
    <w:rPr>
      <w:rFonts w:cs="Times New Roman"/>
      <w:sz w:val="16"/>
      <w:szCs w:val="16"/>
    </w:rPr>
  </w:style>
  <w:style w:type="paragraph" w:styleId="CommentText">
    <w:name w:val="annotation text"/>
    <w:basedOn w:val="Normal"/>
    <w:link w:val="CommentTextChar"/>
    <w:uiPriority w:val="99"/>
    <w:semiHidden/>
    <w:rsid w:val="007268BE"/>
    <w:pPr>
      <w:spacing w:before="0"/>
      <w:jc w:val="left"/>
    </w:pPr>
    <w:rPr>
      <w:rFonts w:ascii="Times New Roman" w:hAnsi="Times New Roman" w:cs="Times New Roman"/>
    </w:rPr>
  </w:style>
  <w:style w:type="character" w:customStyle="1" w:styleId="CommentTextChar">
    <w:name w:val="Comment Text Char"/>
    <w:link w:val="CommentText"/>
    <w:uiPriority w:val="99"/>
    <w:semiHidden/>
    <w:rsid w:val="007268BE"/>
    <w:rPr>
      <w:rFonts w:ascii="Times New Roman" w:eastAsia="MS Mincho" w:hAnsi="Times New Roman" w:cs="Times New Roman"/>
      <w:sz w:val="20"/>
      <w:szCs w:val="20"/>
    </w:rPr>
  </w:style>
  <w:style w:type="paragraph" w:styleId="BodyText">
    <w:name w:val="Body Text"/>
    <w:basedOn w:val="Normal"/>
    <w:link w:val="BodyTextChar"/>
    <w:uiPriority w:val="99"/>
    <w:unhideWhenUsed/>
    <w:rsid w:val="007268BE"/>
    <w:pPr>
      <w:spacing w:before="0" w:after="120"/>
      <w:jc w:val="left"/>
    </w:pPr>
    <w:rPr>
      <w:rFonts w:ascii="Times New Roman" w:hAnsi="Times New Roman" w:cs="Times New Roman"/>
    </w:rPr>
  </w:style>
  <w:style w:type="character" w:customStyle="1" w:styleId="BodyTextChar">
    <w:name w:val="Body Text Char"/>
    <w:link w:val="BodyText"/>
    <w:uiPriority w:val="99"/>
    <w:rsid w:val="007268BE"/>
    <w:rPr>
      <w:rFonts w:ascii="Times New Roman" w:eastAsia="MS Mincho" w:hAnsi="Times New Roman" w:cs="Times New Roman"/>
      <w:sz w:val="20"/>
      <w:szCs w:val="20"/>
    </w:rPr>
  </w:style>
  <w:style w:type="paragraph" w:styleId="BalloonText">
    <w:name w:val="Balloon Text"/>
    <w:basedOn w:val="Normal"/>
    <w:link w:val="BalloonTextChar"/>
    <w:uiPriority w:val="99"/>
    <w:semiHidden/>
    <w:unhideWhenUsed/>
    <w:rsid w:val="007268BE"/>
    <w:pPr>
      <w:spacing w:before="0"/>
    </w:pPr>
    <w:rPr>
      <w:rFonts w:ascii="Tahoma" w:hAnsi="Tahoma" w:cs="Times New Roman"/>
      <w:sz w:val="16"/>
      <w:szCs w:val="16"/>
    </w:rPr>
  </w:style>
  <w:style w:type="character" w:customStyle="1" w:styleId="BalloonTextChar">
    <w:name w:val="Balloon Text Char"/>
    <w:link w:val="BalloonText"/>
    <w:uiPriority w:val="99"/>
    <w:semiHidden/>
    <w:rsid w:val="007268BE"/>
    <w:rPr>
      <w:rFonts w:ascii="Tahoma" w:eastAsia="MS Mincho" w:hAnsi="Tahoma" w:cs="Tahoma"/>
      <w:sz w:val="16"/>
      <w:szCs w:val="16"/>
    </w:rPr>
  </w:style>
  <w:style w:type="paragraph" w:styleId="Header">
    <w:name w:val="header"/>
    <w:basedOn w:val="Normal"/>
    <w:link w:val="HeaderChar"/>
    <w:uiPriority w:val="99"/>
    <w:unhideWhenUsed/>
    <w:rsid w:val="00437F11"/>
    <w:pPr>
      <w:tabs>
        <w:tab w:val="center" w:pos="4680"/>
        <w:tab w:val="right" w:pos="9360"/>
      </w:tabs>
      <w:spacing w:before="0"/>
    </w:pPr>
    <w:rPr>
      <w:rFonts w:cs="Times New Roman"/>
    </w:rPr>
  </w:style>
  <w:style w:type="character" w:customStyle="1" w:styleId="HeaderChar">
    <w:name w:val="Header Char"/>
    <w:link w:val="Header"/>
    <w:uiPriority w:val="99"/>
    <w:rsid w:val="00437F11"/>
    <w:rPr>
      <w:rFonts w:ascii="Arial" w:eastAsia="MS Mincho" w:hAnsi="Arial" w:cs="Arial"/>
      <w:sz w:val="20"/>
      <w:szCs w:val="20"/>
    </w:rPr>
  </w:style>
  <w:style w:type="paragraph" w:styleId="Footer">
    <w:name w:val="footer"/>
    <w:basedOn w:val="Normal"/>
    <w:link w:val="FooterChar"/>
    <w:uiPriority w:val="99"/>
    <w:unhideWhenUsed/>
    <w:rsid w:val="00437F11"/>
    <w:pPr>
      <w:tabs>
        <w:tab w:val="center" w:pos="4680"/>
        <w:tab w:val="right" w:pos="9360"/>
      </w:tabs>
      <w:spacing w:before="0"/>
    </w:pPr>
    <w:rPr>
      <w:rFonts w:cs="Times New Roman"/>
    </w:rPr>
  </w:style>
  <w:style w:type="character" w:customStyle="1" w:styleId="FooterChar">
    <w:name w:val="Footer Char"/>
    <w:link w:val="Footer"/>
    <w:uiPriority w:val="99"/>
    <w:rsid w:val="00437F11"/>
    <w:rPr>
      <w:rFonts w:ascii="Arial" w:eastAsia="MS Mincho" w:hAnsi="Arial" w:cs="Arial"/>
      <w:sz w:val="20"/>
      <w:szCs w:val="20"/>
    </w:rPr>
  </w:style>
  <w:style w:type="table" w:styleId="TableGrid">
    <w:name w:val="Table Grid"/>
    <w:basedOn w:val="TableNormal"/>
    <w:uiPriority w:val="59"/>
    <w:rsid w:val="00C2432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mmentSubject">
    <w:name w:val="annotation subject"/>
    <w:basedOn w:val="CommentText"/>
    <w:next w:val="CommentText"/>
    <w:link w:val="CommentSubjectChar"/>
    <w:uiPriority w:val="99"/>
    <w:semiHidden/>
    <w:unhideWhenUsed/>
    <w:rsid w:val="009324C0"/>
    <w:pPr>
      <w:spacing w:before="120"/>
      <w:jc w:val="both"/>
    </w:pPr>
    <w:rPr>
      <w:rFonts w:ascii="Arial" w:hAnsi="Arial" w:cs="Arial"/>
      <w:b/>
      <w:bCs/>
    </w:rPr>
  </w:style>
  <w:style w:type="character" w:customStyle="1" w:styleId="CommentSubjectChar">
    <w:name w:val="Comment Subject Char"/>
    <w:basedOn w:val="CommentTextChar"/>
    <w:link w:val="CommentSubject"/>
    <w:uiPriority w:val="99"/>
    <w:semiHidden/>
    <w:rsid w:val="009324C0"/>
    <w:rPr>
      <w:rFonts w:ascii="Arial" w:eastAsia="MS Mincho" w:hAnsi="Arial" w:cs="Times New Roman"/>
      <w:b/>
      <w:bCs/>
      <w:sz w:val="20"/>
      <w:szCs w:val="20"/>
    </w:rPr>
  </w:style>
  <w:style w:type="character" w:customStyle="1" w:styleId="LogoportDoNotTranslate">
    <w:name w:val="LogoportDoNotTranslate"/>
    <w:basedOn w:val="DefaultParagraphFont"/>
    <w:rsid w:val="00BB26E4"/>
    <w:rPr>
      <w:rFonts w:ascii="Courier New" w:hAnsi="Courier New" w:cs="Courier New"/>
      <w:b w:val="0"/>
      <w:color w:val="808080"/>
      <w:sz w:val="18"/>
      <w:szCs w:val="36"/>
    </w:rPr>
  </w:style>
  <w:style w:type="character" w:customStyle="1" w:styleId="LogoportMarkup">
    <w:name w:val="LogoportMarkup"/>
    <w:basedOn w:val="DefaultParagraphFont"/>
    <w:rsid w:val="00BB26E4"/>
    <w:rPr>
      <w:rFonts w:ascii="Courier New" w:hAnsi="Courier New" w:cs="Courier New"/>
      <w:b w:val="0"/>
      <w:color w:val="FF0000"/>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4F9F569-E24A-40F7-8690-D6EFA00A8ED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93C394D-3A6D-4498-BD10-0615E14CFF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62460D37-516B-4A82-A08F-127AE5A48D3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1154</Words>
  <Characters>6581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7720</CharactersWithSpaces>
  <SharedDoc>false</SharedDoc>
  <HLinks>
    <vt:vector size="6" baseType="variant">
      <vt:variant>
        <vt:i4>4653138</vt:i4>
      </vt:variant>
      <vt:variant>
        <vt:i4>0</vt:i4>
      </vt:variant>
      <vt:variant>
        <vt:i4>0</vt:i4>
      </vt:variant>
      <vt:variant>
        <vt:i4>5</vt:i4>
      </vt:variant>
      <vt:variant>
        <vt:lpwstr>http://support.live.com/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2016-07-27T18:06:00Z</dcterms:created>
  <dcterms:modified xsi:type="dcterms:W3CDTF">2016-08-18T16:00:00Z</dcterms:modified>
</cp:coreProperties>
</file>