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Çevrimiçi Hizmetler için Ek Hüküm ve Koşullar (Akademik)</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Geçerli olabilmesi için imza formuna eklenmesi gerekir.</w:t>
            </w:r>
          </w:p>
        </w:tc>
      </w:tr>
    </w:tbl>
    <w:p w14:paraId="77F1CC3D" w14:textId="1B4EF243" w:rsidR="00F64D0F" w:rsidRPr="00910467" w:rsidRDefault="00F64D0F" w:rsidP="003D6AC0">
      <w:pPr>
        <w:spacing w:before="360"/>
      </w:pPr>
      <w:r>
        <w:t>Müşterinin Çevrimiçi Hizmetler sipariş etmesi durumunda, bu</w:t>
      </w:r>
      <w:r w:rsidR="00956A1B">
        <w:t xml:space="preserve"> </w:t>
      </w:r>
      <w:r>
        <w:t>Çevrimiçi Hizmetler Ek Hüküm ve Koşulları (</w:t>
      </w:r>
      <w:r w:rsidR="00956A1B">
        <w:t>“</w:t>
      </w:r>
      <w:r>
        <w:t>Ek Hükümler”), uygun olduğu şekilde, Anlaşmanın ve/veya Kayıt Anlaşmasının hükümlerini günceller.</w:t>
      </w:r>
    </w:p>
    <w:p w14:paraId="77F1CC3E" w14:textId="77777777" w:rsidR="00F64D0F" w:rsidRPr="00910467" w:rsidRDefault="00F64D0F" w:rsidP="003D6AC0">
      <w:pPr>
        <w:pStyle w:val="Heading1"/>
      </w:pPr>
      <w:r>
        <w:t>1.</w:t>
      </w:r>
      <w:r>
        <w:tab/>
        <w:t>Tanımlar.</w:t>
      </w:r>
    </w:p>
    <w:p w14:paraId="77F1CC3F" w14:textId="7680897B" w:rsidR="00F64D0F" w:rsidRPr="00414B77" w:rsidRDefault="00F64D0F" w:rsidP="003D6AC0">
      <w:r w:rsidRPr="00414B77">
        <w:t>Büyük harfle başlayan, burada kullanılan, ancak burada tanımlanmamış terimler, Anlaşmada ve/veya Kayıt Anlaşmasında kendilerine verilen anlamları ifade edecektir.</w:t>
      </w:r>
      <w:r w:rsidR="00956A1B" w:rsidRPr="00414B77">
        <w:t xml:space="preserve"> </w:t>
      </w:r>
      <w:r w:rsidRPr="00414B77">
        <w:t>Aşağıdaki tanımlar, uygun şekilde, Anlaşmadaki ve/veya Kayıt Anlaşmasındaki tanımların yerine geçer veya onları tamamlar:</w:t>
      </w:r>
    </w:p>
    <w:p w14:paraId="77F1CC40" w14:textId="3D41946E" w:rsidR="00F64D0F" w:rsidRPr="00910467" w:rsidRDefault="00F64D0F" w:rsidP="003D6AC0">
      <w:r>
        <w:t>“Kurum Verileri”, Kurumun Çevrimiçi Hizmetleri kullanmasıyla Microsoft’a Kurum tarafından ya da onun adına verilen ve tüm metin, ses, yazılım ya da görüntü dosyalarını içeren tüm veriler anlamına gelir.</w:t>
      </w:r>
    </w:p>
    <w:p w14:paraId="77F1CC41" w14:textId="45C29472" w:rsidR="00F64D0F" w:rsidRPr="00910467" w:rsidRDefault="00F64D0F" w:rsidP="003D6AC0">
      <w:r>
        <w:t>“Çevrimiçi Hizmetler”, Ürün Koşullarının Çevrimiçi Hizmetler bölümünde tanımlanmış olan ve Microsoft tarafından barındırılan hizmetler anlamına gelir.</w:t>
      </w:r>
    </w:p>
    <w:p w14:paraId="77F1CC42" w14:textId="441E7E52" w:rsidR="00F64D0F" w:rsidRPr="00910467" w:rsidRDefault="00F64D0F" w:rsidP="003D6AC0">
      <w:r>
        <w:t>“Ürün”, sürüm öncesi veya beta sürümler de dâhil olmak üzere, tüm yazılımlar, Çevrimiçi Hizmetler ve diğer web tabanlı hizmetler gibi Ürün Koşullarında tanımlanan ürünlerin tamamı anlamına gelir.</w:t>
      </w:r>
      <w:r w:rsidR="00956A1B">
        <w:t xml:space="preserve"> </w:t>
      </w:r>
      <w:r>
        <w:t>Ürünler, bölgeye göre değişen programlar kapsamında bulunabilir.</w:t>
      </w:r>
    </w:p>
    <w:p w14:paraId="77F1CC43" w14:textId="47165A0A" w:rsidR="00F64D0F" w:rsidRPr="00910467" w:rsidRDefault="00F64D0F" w:rsidP="003D6AC0">
      <w:r>
        <w:t>“Hizmet Seviyesi Anlaşması”, Microsoft’un uymayı kabul ettiği ve bunları baz alarak bir Çevrimiçi Hizmet için hizmet seviyesini ölçtüğü standartları belirten doküman anlamına gelir.</w:t>
      </w:r>
    </w:p>
    <w:p w14:paraId="77F1CC44" w14:textId="11E031EA" w:rsidR="00F64D0F" w:rsidRPr="00910467" w:rsidRDefault="00F64D0F" w:rsidP="00D25D25">
      <w:pPr>
        <w:pStyle w:val="Heading1"/>
      </w:pPr>
      <w:r>
        <w:t>2.</w:t>
      </w:r>
      <w:r>
        <w:tab/>
        <w:t>Çevrimiçi Hizmetler için Sınırlı Garanti.</w:t>
      </w:r>
    </w:p>
    <w:p w14:paraId="77F1CC45" w14:textId="2D89CD05" w:rsidR="00F64D0F" w:rsidRPr="00910467" w:rsidRDefault="00F64D0F" w:rsidP="003D6AC0">
      <w:r>
        <w:t>Microsoft, Çevrimiçi Hizmetlerin ilgili Hizmet Seviyesi Anlaşmasının hükümlerine uygun olarak gerçekleştirileceğini garanti eder.</w:t>
      </w:r>
      <w:r w:rsidR="00956A1B">
        <w:t xml:space="preserve"> </w:t>
      </w:r>
      <w:r>
        <w:t>Bu sınırlı garanti, ilgili Hizmet Seviyesi Anlaşmasındaki bildirim koşullarına tabi olarak, Kurumun Çevrimiçi Hizmetleri kullanımı içindir.</w:t>
      </w:r>
    </w:p>
    <w:p w14:paraId="77F1CC46" w14:textId="5F69A17A" w:rsidR="00F64D0F" w:rsidRPr="00910467" w:rsidRDefault="00F64D0F" w:rsidP="003D6AC0">
      <w:r>
        <w:t>Eğer Microsoft bu sınırlı garantiyi yerine getiremezse ve Kurum garanti süresi içerisinde bu konuda Microsoft’a bildirimde bulunursa, bu durumda Microsoft durumdan etkilenen Çevrimiçi Hizmetler için Hizmet Seviyesi Anlaşmasında belirtilen hukuki başvuru yollarını sağlayacaktır.</w:t>
      </w:r>
      <w:r w:rsidR="00956A1B">
        <w:t xml:space="preserve"> </w:t>
      </w:r>
      <w:r>
        <w:t>İlgili yasa kapsamında sağlanması gereken hukuki başvuru yöntemleri haricinde, sınırlı garantinin ihlali durumunda Kurumun sahip olduğu tek hukuki başvuru yollarıdır.</w:t>
      </w:r>
    </w:p>
    <w:p w14:paraId="77F1CC48" w14:textId="5B7A9213" w:rsidR="00F64D0F" w:rsidRPr="00910467" w:rsidRDefault="00F64D0F" w:rsidP="000C6335">
      <w:r>
        <w:t>Bu sınırlı garanti, aşağıdaki sınırlamalara tabidir:</w:t>
      </w:r>
    </w:p>
    <w:p w14:paraId="77F1CC49" w14:textId="22830C91" w:rsidR="00F64D0F" w:rsidRPr="00910467" w:rsidRDefault="00F64D0F" w:rsidP="000C6335">
      <w:pPr>
        <w:pStyle w:val="ListParagraph"/>
        <w:numPr>
          <w:ilvl w:val="0"/>
          <w:numId w:val="32"/>
        </w:numPr>
      </w:pPr>
      <w:r>
        <w:t>Sınırlı garanti, kazayla, yasaya veya amaca aykırı kullanmayla ya da uygun olduğu şekliyle, Anlaşmaya ve/veya Kayıt Anlaşmasına ya da Ürün Kullanım Haklarına uygun bir şekilde kullanmamayla veya Microsoft’un makul sınırlar içindeki denetimi dışında gerçekleşen sorunları kapsamamaktadır;</w:t>
      </w:r>
    </w:p>
    <w:p w14:paraId="77F1CC4A" w14:textId="77777777" w:rsidR="00F64D0F" w:rsidRPr="00910467" w:rsidRDefault="00F64D0F" w:rsidP="000C6335">
      <w:pPr>
        <w:pStyle w:val="ListParagraph"/>
        <w:numPr>
          <w:ilvl w:val="0"/>
          <w:numId w:val="32"/>
        </w:numPr>
      </w:pPr>
      <w:r>
        <w:t xml:space="preserve">Sınırlı garanti, Kuruluşun yeniden dağıtmasına izin verilen Ürün bileşenlerini kapsamaz; </w:t>
      </w:r>
    </w:p>
    <w:p w14:paraId="77F1CC4B" w14:textId="77777777" w:rsidR="00F64D0F" w:rsidRPr="00910467" w:rsidRDefault="00F64D0F" w:rsidP="000C6335">
      <w:pPr>
        <w:pStyle w:val="ListParagraph"/>
        <w:numPr>
          <w:ilvl w:val="0"/>
          <w:numId w:val="32"/>
        </w:numPr>
      </w:pPr>
      <w:r>
        <w:t>Sınırlı garanti ücretsiz, deneme amaçlı, sürüm öncesi ya da beta ürünler için geçerli değildir ve</w:t>
      </w:r>
    </w:p>
    <w:p w14:paraId="77F1CC4C" w14:textId="77777777" w:rsidR="00F64D0F" w:rsidRPr="00910467" w:rsidRDefault="00F64D0F" w:rsidP="000C6335">
      <w:pPr>
        <w:pStyle w:val="ListParagraph"/>
        <w:numPr>
          <w:ilvl w:val="0"/>
          <w:numId w:val="32"/>
        </w:numPr>
      </w:pPr>
      <w:r>
        <w:t>Sınırlı garanti, asgari sistem gerekliliklerine uyulmaması nedeniyle ortaya çıkan sorunları kapsamaz.</w:t>
      </w:r>
    </w:p>
    <w:p w14:paraId="77F1CC4D" w14:textId="40A5BE7B" w:rsidR="00F64D0F" w:rsidRPr="00910467" w:rsidRDefault="00F64D0F" w:rsidP="003D6AC0">
      <w:pPr>
        <w:rPr>
          <w:b/>
          <w:bCs/>
        </w:rPr>
      </w:pPr>
      <w:r>
        <w:rPr>
          <w:b/>
          <w:bCs/>
        </w:rPr>
        <w:t>BU SINIRLI GARANTİ DIŞINDA, MICROSOFT AÇIK YA DA ZIMNİ HİÇBİR GARANTİ VEYA KOŞUL SAĞLAMAMAKTADIR. MICROSOFT, TİCARETE VEYA BELİRLİ BİR AMACA UYGUNLUK, TATMİN EDİCİ KALİTE, MÜLKİYET VEYA İHLAL ETMEME DE DAHİL OLMAK ÜZERE ZIMNİ HİÇBİR TAAHHÜT, GARANTİ VEYA KOŞULU KABUL ETMEMEKTEDİR VE BUNLARDAN SORUMLU DEĞİLDİR.</w:t>
      </w:r>
      <w:r w:rsidR="00956A1B">
        <w:rPr>
          <w:b/>
          <w:bCs/>
        </w:rPr>
        <w:t xml:space="preserve"> </w:t>
      </w:r>
      <w:r>
        <w:rPr>
          <w:b/>
          <w:bCs/>
        </w:rPr>
        <w:t xml:space="preserve">BU RED BEYANLARI, İLGİLİ YASANIN İZİN VERDİĞİ </w:t>
      </w:r>
      <w:r>
        <w:rPr>
          <w:b/>
          <w:bCs/>
        </w:rPr>
        <w:lastRenderedPageBreak/>
        <w:t>ÖLÇÜDE GEÇERLİDİR.</w:t>
      </w:r>
      <w:r w:rsidR="00956A1B">
        <w:rPr>
          <w:b/>
          <w:bCs/>
        </w:rPr>
        <w:t xml:space="preserve"> </w:t>
      </w:r>
      <w:r>
        <w:rPr>
          <w:b/>
          <w:bCs/>
        </w:rPr>
        <w:t>Yasa gereği reddedilemeyen tüm garantiler, taahhütler veya koşullar, sınırlı garantinin başlamasından sonra bir yıl boyunca geçerli olacaktır.</w:t>
      </w:r>
    </w:p>
    <w:p w14:paraId="77F1CC4E" w14:textId="77777777" w:rsidR="00F64D0F" w:rsidRPr="00910467" w:rsidRDefault="00F64D0F" w:rsidP="003D6AC0">
      <w:pPr>
        <w:pStyle w:val="Heading1"/>
      </w:pPr>
      <w:r>
        <w:t>3.</w:t>
      </w:r>
      <w:r>
        <w:tab/>
        <w:t>Kurumun koruma anlaşması.</w:t>
      </w:r>
    </w:p>
    <w:p w14:paraId="77F1CC4F" w14:textId="77777777" w:rsidR="00F64D0F" w:rsidRPr="00910467" w:rsidRDefault="00F64D0F" w:rsidP="003D6AC0">
      <w:r>
        <w:t>Kurum Microsoft’u, bağlantılı kuruluş olmayan üçüncü kişilerin aşağıdaki iddialarına karşı savunacaktır:</w:t>
      </w:r>
    </w:p>
    <w:p w14:paraId="77F1CC50" w14:textId="0635DD87" w:rsidR="00F64D0F" w:rsidRPr="00910467" w:rsidRDefault="00F64D0F" w:rsidP="003D6AC0">
      <w:pPr>
        <w:pStyle w:val="ListParagraph"/>
        <w:numPr>
          <w:ilvl w:val="0"/>
          <w:numId w:val="2"/>
        </w:numPr>
        <w:ind w:left="1080"/>
      </w:pPr>
      <w:r>
        <w:t>Kurum verilerinin veya Microsoft’un Kurum adına kullandırdığı ve Microsoft'a ait olmayan yazılımların üçüncü kişinin patentlerini, telif haklarını ya da ticari markalarını ihlal etmesi ya da Ticari Sırlarını yasaya aykırı olarak kullanması veya</w:t>
      </w:r>
    </w:p>
    <w:p w14:paraId="77F1CC51" w14:textId="7ABF05C8" w:rsidR="00F64D0F" w:rsidRPr="00910467" w:rsidRDefault="00F64D0F" w:rsidP="003D6AC0">
      <w:pPr>
        <w:pStyle w:val="ListParagraph"/>
        <w:numPr>
          <w:ilvl w:val="0"/>
          <w:numId w:val="2"/>
        </w:numPr>
        <w:ind w:left="1080"/>
      </w:pPr>
      <w:r>
        <w:t>Ürün Kullanım Hakları bölümünde açıklanan, Kabul Edilebilir Kullanım Politikasının koşullarının ihlalinden kaynaklanan hususlar ortaya çıkarsa.</w:t>
      </w:r>
    </w:p>
    <w:p w14:paraId="77F1CC52" w14:textId="24D02981" w:rsidR="00F64D0F" w:rsidRPr="00910467" w:rsidRDefault="00F64D0F" w:rsidP="003D6AC0">
      <w:r>
        <w:t>Kurumun, aleyhe verilmiş ve kesinleşmiş bir mahkeme kararıyla hükmedilen (veya Kurumun onayladığı bir sulh anlaşmasında kararlaştırılan) bedeli ödemesi gerekir.</w:t>
      </w:r>
      <w:r w:rsidR="00626CD5">
        <w:t xml:space="preserve"> </w:t>
      </w:r>
      <w:r>
        <w:t>Microsoft’un bu tür iddialara münhasır talep hakları bu maddede belirtilenlerden ibarettir.</w:t>
      </w:r>
    </w:p>
    <w:p w14:paraId="77F1CC53" w14:textId="24A14AEE" w:rsidR="00F64D0F" w:rsidRPr="00910467" w:rsidRDefault="00F64D0F" w:rsidP="003D6AC0">
      <w:r>
        <w:t>Microsoft Kuruma bu bölüme tabi iddialarla ilgili olarak derhal yazılı bildirimde bulunmalıdır.</w:t>
      </w:r>
      <w:r w:rsidR="00956A1B">
        <w:t xml:space="preserve"> </w:t>
      </w:r>
      <w:r>
        <w:t>Microsoft (1) bu tip bir iddianın savunması veya sulhu konusundaki tüm yetkiyi Kuruma vermelidir; ve (2)</w:t>
      </w:r>
      <w:r w:rsidR="005C1509">
        <w:t xml:space="preserve"> </w:t>
      </w:r>
      <w:r>
        <w:t>iddianın savunulmasıyla ilgili olarak makul yardım sağlamalıdır.</w:t>
      </w:r>
      <w:r w:rsidR="00956A1B">
        <w:t xml:space="preserve"> </w:t>
      </w:r>
      <w:r>
        <w:t>Kurum, Microsoft’un bu yardımın sunulması sırasında yapacağı makul masrafları tazmin edecektir.</w:t>
      </w:r>
    </w:p>
    <w:p w14:paraId="77F1CC54" w14:textId="77777777" w:rsidR="00F64D0F" w:rsidRPr="00910467" w:rsidRDefault="00F64D0F" w:rsidP="003D6AC0">
      <w:pPr>
        <w:pStyle w:val="Heading1"/>
      </w:pPr>
      <w:r>
        <w:t>4.</w:t>
      </w:r>
      <w:r>
        <w:tab/>
        <w:t>Sorumluluğun sınırlandırılması.</w:t>
      </w:r>
    </w:p>
    <w:p w14:paraId="77F1CC55" w14:textId="1A873224" w:rsidR="00F64D0F" w:rsidRPr="00910467" w:rsidRDefault="00F64D0F" w:rsidP="003D6AC0">
      <w:r>
        <w:t>İlgili yasa tarafından izin verilen ölçüde, tarafların Bağlı Kuruluşları ve yüklenicileri dâhil olmak üzere tarafların her birinin bu Anlaşma kapsamında ortaya çıkan tüm iddialar için toplam yükümlülüğü, Kurumun eylem nedeni oluşmadan önce 12 ay boyunca Çevrimiçi Hizmet için ödediği miktara kadar olan doğrudan zararlarla sınırlıdır; ancak buradaki şart, hiçbir durumda bir tarafın herhangi bir Çevrimiçi Hizmet için toplam yükümlülüğünün geçerli Kayıt Anlaşması kapsamında söz konusu Çevrimiçi Hizmet için ödenen miktarı aşamamasıdır.</w:t>
      </w:r>
      <w:r w:rsidR="00956A1B">
        <w:t xml:space="preserve"> </w:t>
      </w:r>
      <w:r>
        <w:t>Ücretsiz verilen Çevrimiçi Hizmetler ya da Kurumun Microsoft’a ayrı bir ödeme yapmadan üçüncü taraflara yeniden dağıtmaya yetkili olduğu kod durumunda, Microsoft’un yükümlülüğü doğrudan zararlarla ve 5.000 ABD Doları ile sınırlıdır.</w:t>
      </w:r>
      <w:r w:rsidR="00956A1B">
        <w:t xml:space="preserve"> </w:t>
      </w:r>
      <w:r>
        <w:t>Bu sınırlamalar, ileri sürülen sorumluluğun sözleşme ihlaline, haksız fiile (ihmal dâhil), kusursuz sorumluluğa, garantilerin ihlaline veya herhangi bir başka hukuk teorisine dayanıp dayanmadığına bakılmaksızın uygulanacaktır.</w:t>
      </w:r>
      <w:r w:rsidR="00956A1B">
        <w:t xml:space="preserve"> </w:t>
      </w:r>
      <w:r>
        <w:t>Ancak bu bölümdeki sınırlamalar aşağıdaki durumlarda geçerli olmayacaktır:</w:t>
      </w:r>
    </w:p>
    <w:p w14:paraId="77F1CC56" w14:textId="4A7D7143" w:rsidR="00F64D0F" w:rsidRPr="00910467" w:rsidRDefault="00F64D0F" w:rsidP="003D6AC0">
      <w:pPr>
        <w:pStyle w:val="ListParagraph"/>
        <w:numPr>
          <w:ilvl w:val="0"/>
          <w:numId w:val="1"/>
        </w:numPr>
        <w:ind w:left="1080"/>
      </w:pPr>
      <w:r>
        <w:t xml:space="preserve">Microsoft’un Anlaşmanın “Hak ihlali, kötüye kullanım ve üçüncü şahıs talepleri karşısında savunma” başlıklı bölümü ya da </w:t>
      </w:r>
      <w:r w:rsidR="00956A1B">
        <w:t>“</w:t>
      </w:r>
      <w:r>
        <w:t>Kurumun korumayı kabul etmesi</w:t>
      </w:r>
      <w:r w:rsidR="00956A1B">
        <w:t>”</w:t>
      </w:r>
      <w:r>
        <w:t xml:space="preserve"> başlıklı bu Ek Hükümler kapsamındaki yükümlülükleri;</w:t>
      </w:r>
    </w:p>
    <w:p w14:paraId="2BED46C7" w14:textId="31AA2DB4" w:rsidR="00861C56" w:rsidRDefault="00F64D0F" w:rsidP="003D6AC0">
      <w:pPr>
        <w:pStyle w:val="ListParagraph"/>
        <w:numPr>
          <w:ilvl w:val="0"/>
          <w:numId w:val="1"/>
        </w:numPr>
        <w:ind w:left="1080"/>
      </w:pPr>
      <w:r>
        <w:t xml:space="preserve">Microsoft’un Kurum Verilerinden veya Müşteri Verileriyle ilgili olarak ortaya çıkan sorumluluğu haricinde, taraflardan birisinin Anlaşmanın </w:t>
      </w:r>
      <w:r w:rsidR="00956A1B">
        <w:t>“</w:t>
      </w:r>
      <w:r>
        <w:t>Gizlilik</w:t>
      </w:r>
      <w:r w:rsidR="00956A1B">
        <w:t>”</w:t>
      </w:r>
      <w:r>
        <w:t xml:space="preserve"> başlıklı bölümü kapsamında yükümlülüklerini ihlal etmesinden kaynaklanan sorumlulukları, ilgili Çevrimiçi Hizmet için her durumda yukarıda yer alan şekilde sınırlı olacaktır ve </w:t>
      </w:r>
    </w:p>
    <w:p w14:paraId="77F1CC58" w14:textId="182079DC" w:rsidR="00F64D0F" w:rsidRPr="00910467" w:rsidRDefault="00861C56" w:rsidP="003D6AC0">
      <w:pPr>
        <w:pStyle w:val="ListParagraph"/>
        <w:numPr>
          <w:ilvl w:val="0"/>
          <w:numId w:val="1"/>
        </w:numPr>
        <w:ind w:left="1080"/>
      </w:pPr>
      <w:r>
        <w:t>taraflardan herhangi birisinin diğer tarafın fikri mülkiyet haklarını ihlali.</w:t>
      </w:r>
    </w:p>
    <w:p w14:paraId="6F417F09" w14:textId="14ADD83B" w:rsidR="001D4400" w:rsidRPr="007B6E40" w:rsidRDefault="00F64D0F" w:rsidP="003D6AC0">
      <w:pPr>
        <w:rPr>
          <w:b/>
          <w:bCs/>
        </w:rPr>
      </w:pPr>
      <w:r>
        <w:rPr>
          <w:b/>
          <w:bCs/>
        </w:rPr>
        <w:t>UYGULANABİLİR YASALARIN İZİN VERDİĞİ AZAMİ ÖLÇÜDE, TALEBİN YASAL DAYANAĞI HER NE OLURSA OLSUN, TARAFLARDAN HİÇBİRİ YA DA BUNLARIN BAĞLI KURULUŞLARI, YA DA YÜKLENİCİLERİ, BU ZARARLARIN ORTAYA ÇIKMA OLASILIĞI KONUSUNDA KENDİLERİNE BİLGİ VERİLMİŞ YA DA BU OLASILIK MAKUL SINIRLAR İÇİNDE ÖNGÖRÜLEBİLİR OLSA DAHİ, BU ANLAŞMAYLA BAĞLANTILI OLARAK ORTAYA ÇIKAN DOLAYLI, SONUCA BAĞLI, ÖZEL YA DA MÜSPET ZARARLARLA BAĞLANTILI ZARARLARDAN YA DA KAR YA DA GELİR KAYIPLARI, İŞİN KESİNTİYE UĞRAMASI VEYA TİCARİ BİLGİLERİN KAYBINDAN KAYNAKLANAN ZARARLARDAN SORUMLU OLMAYACAKLARDIR.</w:t>
      </w:r>
      <w:r w:rsidR="00956A1B">
        <w:rPr>
          <w:b/>
          <w:bCs/>
        </w:rPr>
        <w:t xml:space="preserve"> </w:t>
      </w:r>
      <w:r>
        <w:rPr>
          <w:b/>
          <w:bCs/>
        </w:rPr>
        <w:t xml:space="preserve">BUNUNLA BİRLİKTE, SORUMLULUĞUN SINIRLANDIRILMASINA İLİŞKİN BU HÜKÜM, TARAFLARDAN BİRİNİN DİĞER TARAFA KARŞI (1) GİZLİLİK YÜKÜMLÜLÜKLERİNİ (İHLALİN KURUM VERİLERİYLE İLGİLİ OLMASI DURUMU DIŞINDA), (2) DİĞER TARAFIN FİKRİ MÜLKİYET HAKLARINI YA DA (3) ANLAŞMANIN </w:t>
      </w:r>
      <w:r w:rsidR="00956A1B">
        <w:rPr>
          <w:b/>
          <w:bCs/>
        </w:rPr>
        <w:t>“</w:t>
      </w:r>
      <w:r>
        <w:rPr>
          <w:b/>
          <w:bCs/>
        </w:rPr>
        <w:t>HAK İHLALİ, KÖTÜYE KULLANIM VE ÜÇÜNCÜ ŞAHIS TALEPLERİ KARŞISINDA SAVUNMA</w:t>
      </w:r>
      <w:r w:rsidR="00956A1B">
        <w:rPr>
          <w:b/>
          <w:bCs/>
        </w:rPr>
        <w:t>”</w:t>
      </w:r>
      <w:r>
        <w:rPr>
          <w:b/>
          <w:bCs/>
        </w:rPr>
        <w:t xml:space="preserve"> BAŞLIKLI BÖLÜMDE </w:t>
      </w:r>
      <w:r>
        <w:rPr>
          <w:b/>
          <w:bCs/>
        </w:rPr>
        <w:lastRenderedPageBreak/>
        <w:t xml:space="preserve">SÖZÜ EDİLEN İLGİLİ YÜKÜMLÜLÜKLERİNİ İHLALİNDEN DOĞAN YÜKÜMLÜLÜKLERİ VEYA KURUMUN BU EK HÜKÜMLERİN </w:t>
      </w:r>
      <w:r w:rsidR="00956A1B">
        <w:rPr>
          <w:b/>
          <w:bCs/>
        </w:rPr>
        <w:t>“</w:t>
      </w:r>
      <w:r>
        <w:rPr>
          <w:b/>
          <w:bCs/>
        </w:rPr>
        <w:t>KURUMUN KORUMAYI KABUL ETMESİ</w:t>
      </w:r>
      <w:r w:rsidR="00956A1B">
        <w:rPr>
          <w:b/>
          <w:bCs/>
        </w:rPr>
        <w:t>”</w:t>
      </w:r>
      <w:r>
        <w:rPr>
          <w:b/>
          <w:bCs/>
        </w:rPr>
        <w:t xml:space="preserve"> BAŞLIKLI BÖLÜMDE SÖZ EDİLEN YÜKÜMLÜLÜKLERİ KAPSAMAMAKTADIR.</w:t>
      </w:r>
    </w:p>
    <w:p w14:paraId="77F1CC5E" w14:textId="56BF031A" w:rsidR="00F64D0F" w:rsidRPr="00910467" w:rsidRDefault="00F64D0F" w:rsidP="00C947EB">
      <w:pPr>
        <w:pStyle w:val="Heading1"/>
      </w:pPr>
      <w:r>
        <w:t>5.</w:t>
      </w:r>
      <w:r>
        <w:tab/>
        <w:t>Ek Hükümlerin Uygulanabilirliği.</w:t>
      </w:r>
    </w:p>
    <w:p w14:paraId="77F1CC5F" w14:textId="7AFC59C7" w:rsidR="00437F11" w:rsidRPr="00910467" w:rsidRDefault="00F64D0F" w:rsidP="003D6AC0">
      <w:r>
        <w:t>Bu Ek Hükümler, yalnızca Kurumun Çevrimiçi Hizmetleri satın alımı ve kullanımı için geçerlidir.</w:t>
      </w:r>
      <w:r w:rsidR="00956A1B">
        <w:t xml:space="preserve"> </w:t>
      </w:r>
      <w:r>
        <w:t>Çevrimiçi Hizmetler dışındaki Hizmetler (örn; danışmanlık hizmetleri veya profesyonel hizmetler) ve Ürünler, uygun olduğu şekilde, Anlaşmanın ve/veya Kayıt Anlaşmasının hükümlerine ve burada referans verilen hükümlere tabi olmaya devam edecektir.</w:t>
      </w:r>
      <w:r w:rsidR="00956A1B">
        <w:t xml:space="preserve"> </w:t>
      </w:r>
      <w:r>
        <w:t>Bu Ek Hükümler ile Anlaşma ve/veya Kayıt Anlaşması hükümleri ve koşulları arasında bu hükümlerle açıkça giderilmemiş olan çelişkiler olması durumunda, bu Ek Hükümler geçerli olacaktır.</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B4D719" w14:textId="77777777" w:rsidR="00071632" w:rsidRDefault="00071632" w:rsidP="00437F11">
      <w:pPr>
        <w:spacing w:before="0"/>
      </w:pPr>
      <w:r>
        <w:separator/>
      </w:r>
    </w:p>
  </w:endnote>
  <w:endnote w:type="continuationSeparator" w:id="0">
    <w:p w14:paraId="5AA7F720" w14:textId="77777777" w:rsidR="00071632" w:rsidRDefault="00071632"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C67D24" w14:textId="77777777" w:rsidR="008210D0" w:rsidRDefault="008210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EA1767" w14:paraId="77F1CC67" w14:textId="77777777" w:rsidTr="00EA1767">
      <w:trPr>
        <w:jc w:val="center"/>
      </w:trPr>
      <w:tc>
        <w:tcPr>
          <w:tcW w:w="4951" w:type="dxa"/>
        </w:tcPr>
        <w:p w14:paraId="77F1CC64" w14:textId="713B2982" w:rsidR="00990918" w:rsidRPr="00EA1767" w:rsidRDefault="006200A9" w:rsidP="00EA1767">
          <w:pPr>
            <w:pStyle w:val="Footer"/>
            <w:jc w:val="left"/>
            <w:rPr>
              <w:rFonts w:cs="Arial"/>
              <w:sz w:val="16"/>
              <w:szCs w:val="16"/>
              <w:lang w:val="en-US" w:eastAsia="ja-JP" w:bidi="ar-SA"/>
            </w:rPr>
          </w:pPr>
          <w:r w:rsidRPr="00EA1767">
            <w:rPr>
              <w:rFonts w:cs="Arial"/>
              <w:sz w:val="16"/>
              <w:szCs w:val="16"/>
              <w:lang w:val="en-US" w:eastAsia="ja-JP" w:bidi="ar-SA"/>
            </w:rPr>
            <w:t>SuppTsandCsForOLS(Aca)(WW)(</w:t>
          </w:r>
          <w:r w:rsidR="00EA1767">
            <w:rPr>
              <w:rFonts w:cs="Arial"/>
              <w:sz w:val="16"/>
              <w:szCs w:val="16"/>
              <w:lang w:val="en-US" w:eastAsia="ja-JP" w:bidi="ar-SA"/>
            </w:rPr>
            <w:t>TUR</w:t>
          </w:r>
          <w:r w:rsidRPr="00EA1767">
            <w:rPr>
              <w:rFonts w:cs="Arial"/>
              <w:sz w:val="16"/>
              <w:szCs w:val="16"/>
              <w:lang w:val="en-US" w:eastAsia="ja-JP" w:bidi="ar-SA"/>
            </w:rPr>
            <w:t>)(Aug2016)</w:t>
          </w:r>
        </w:p>
      </w:tc>
      <w:tc>
        <w:tcPr>
          <w:tcW w:w="4078" w:type="dxa"/>
        </w:tcPr>
        <w:p w14:paraId="77F1CC65" w14:textId="127381BF" w:rsidR="00990918" w:rsidRDefault="00990918" w:rsidP="00EA1767">
          <w:pPr>
            <w:pStyle w:val="Footer"/>
            <w:jc w:val="right"/>
            <w:rPr>
              <w:rFonts w:cs="Arial"/>
              <w:sz w:val="16"/>
              <w:szCs w:val="16"/>
              <w:lang w:val="en-US" w:eastAsia="ja-JP" w:bidi="ar-SA"/>
            </w:rPr>
          </w:pPr>
          <w:r w:rsidRPr="00EA1767">
            <w:rPr>
              <w:rFonts w:cs="Arial"/>
              <w:sz w:val="16"/>
              <w:szCs w:val="16"/>
              <w:lang w:val="en-US" w:eastAsia="ja-JP" w:bidi="ar-SA"/>
            </w:rPr>
            <w:t xml:space="preserve">Page </w:t>
          </w:r>
          <w:r w:rsidRPr="00EA1767">
            <w:rPr>
              <w:rFonts w:cs="Arial"/>
              <w:sz w:val="16"/>
              <w:szCs w:val="16"/>
              <w:lang w:val="en-US" w:eastAsia="ja-JP" w:bidi="ar-SA"/>
            </w:rPr>
            <w:fldChar w:fldCharType="begin"/>
          </w:r>
          <w:r w:rsidRPr="00EA1767">
            <w:rPr>
              <w:rFonts w:cs="Arial"/>
              <w:sz w:val="16"/>
              <w:szCs w:val="16"/>
              <w:lang w:val="en-US" w:eastAsia="ja-JP" w:bidi="ar-SA"/>
            </w:rPr>
            <w:instrText xml:space="preserve"> PAGE </w:instrText>
          </w:r>
          <w:r w:rsidRPr="00EA1767">
            <w:rPr>
              <w:rFonts w:cs="Arial"/>
              <w:sz w:val="16"/>
              <w:szCs w:val="16"/>
              <w:lang w:val="en-US" w:eastAsia="ja-JP" w:bidi="ar-SA"/>
            </w:rPr>
            <w:fldChar w:fldCharType="separate"/>
          </w:r>
          <w:r w:rsidR="008210D0">
            <w:rPr>
              <w:rFonts w:cs="Arial"/>
              <w:noProof/>
              <w:sz w:val="16"/>
              <w:szCs w:val="16"/>
              <w:lang w:val="en-US" w:eastAsia="ja-JP" w:bidi="ar-SA"/>
            </w:rPr>
            <w:t>2</w:t>
          </w:r>
          <w:r w:rsidRPr="00EA1767">
            <w:rPr>
              <w:rFonts w:cs="Arial"/>
              <w:sz w:val="16"/>
              <w:szCs w:val="16"/>
              <w:lang w:val="en-US" w:eastAsia="ja-JP" w:bidi="ar-SA"/>
            </w:rPr>
            <w:fldChar w:fldCharType="end"/>
          </w:r>
          <w:r w:rsidRPr="00EA1767">
            <w:rPr>
              <w:rFonts w:cs="Arial"/>
              <w:sz w:val="16"/>
              <w:szCs w:val="16"/>
              <w:lang w:val="en-US" w:eastAsia="ja-JP" w:bidi="ar-SA"/>
            </w:rPr>
            <w:t xml:space="preserve"> of </w:t>
          </w:r>
          <w:r w:rsidRPr="00EA1767">
            <w:rPr>
              <w:rFonts w:cs="Arial"/>
              <w:sz w:val="16"/>
              <w:szCs w:val="16"/>
              <w:lang w:val="en-US" w:eastAsia="ja-JP" w:bidi="ar-SA"/>
            </w:rPr>
            <w:fldChar w:fldCharType="begin"/>
          </w:r>
          <w:r w:rsidRPr="00EA1767">
            <w:rPr>
              <w:rFonts w:cs="Arial"/>
              <w:sz w:val="16"/>
              <w:szCs w:val="16"/>
              <w:lang w:val="en-US" w:eastAsia="ja-JP" w:bidi="ar-SA"/>
            </w:rPr>
            <w:instrText xml:space="preserve"> NUMPAGES  </w:instrText>
          </w:r>
          <w:r w:rsidRPr="00EA1767">
            <w:rPr>
              <w:rFonts w:cs="Arial"/>
              <w:sz w:val="16"/>
              <w:szCs w:val="16"/>
              <w:lang w:val="en-US" w:eastAsia="ja-JP" w:bidi="ar-SA"/>
            </w:rPr>
            <w:fldChar w:fldCharType="separate"/>
          </w:r>
          <w:r w:rsidR="008210D0">
            <w:rPr>
              <w:rFonts w:cs="Arial"/>
              <w:noProof/>
              <w:sz w:val="16"/>
              <w:szCs w:val="16"/>
              <w:lang w:val="en-US" w:eastAsia="ja-JP" w:bidi="ar-SA"/>
            </w:rPr>
            <w:t>3</w:t>
          </w:r>
          <w:r w:rsidRPr="00EA1767">
            <w:rPr>
              <w:rFonts w:cs="Arial"/>
              <w:sz w:val="16"/>
              <w:szCs w:val="16"/>
              <w:lang w:val="en-US" w:eastAsia="ja-JP" w:bidi="ar-SA"/>
            </w:rPr>
            <w:fldChar w:fldCharType="end"/>
          </w:r>
        </w:p>
        <w:p w14:paraId="5EDEB268" w14:textId="586DCF15" w:rsidR="008210D0" w:rsidRPr="00EA1767" w:rsidRDefault="008210D0" w:rsidP="00EA1767">
          <w:pPr>
            <w:pStyle w:val="Footer"/>
            <w:jc w:val="right"/>
            <w:rPr>
              <w:rFonts w:cs="Arial"/>
              <w:sz w:val="16"/>
              <w:szCs w:val="16"/>
              <w:lang w:val="en-US" w:eastAsia="ja-JP" w:bidi="ar-SA"/>
            </w:rPr>
          </w:pPr>
          <w:r>
            <w:rPr>
              <w:rFonts w:cs="Arial"/>
              <w:sz w:val="16"/>
              <w:szCs w:val="16"/>
              <w:lang w:val="en-US" w:eastAsia="ja-JP" w:bidi="ar-SA"/>
            </w:rPr>
            <w:t xml:space="preserve">Document </w:t>
          </w:r>
          <w:r w:rsidRPr="008210D0">
            <w:rPr>
              <w:rFonts w:cs="Arial"/>
              <w:sz w:val="16"/>
              <w:szCs w:val="16"/>
              <w:lang w:val="en-US" w:eastAsia="ja-JP" w:bidi="ar-SA"/>
            </w:rPr>
            <w:t>X20-14389</w:t>
          </w:r>
          <w:bookmarkStart w:id="0" w:name="_GoBack"/>
          <w:bookmarkEnd w:id="0"/>
        </w:p>
        <w:p w14:paraId="77F1CC66" w14:textId="77777777" w:rsidR="00990918" w:rsidRPr="00EA1767" w:rsidRDefault="00990918" w:rsidP="00EA1767">
          <w:pPr>
            <w:pStyle w:val="Footer"/>
            <w:jc w:val="right"/>
            <w:rPr>
              <w:rFonts w:cs="Arial"/>
              <w:sz w:val="16"/>
              <w:szCs w:val="16"/>
              <w:lang w:val="en-US" w:eastAsia="ja-JP" w:bidi="ar-SA"/>
            </w:rPr>
          </w:pPr>
        </w:p>
      </w:tc>
    </w:tr>
  </w:tbl>
  <w:p w14:paraId="77F1CC68" w14:textId="77777777" w:rsidR="00990918" w:rsidRPr="00EA1767" w:rsidRDefault="00990918" w:rsidP="00EA1767">
    <w:pPr>
      <w:pStyle w:val="Footer"/>
      <w:jc w:val="left"/>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EA1767" w14:paraId="77F1CC6D" w14:textId="77777777" w:rsidTr="00EA1767">
      <w:trPr>
        <w:jc w:val="center"/>
      </w:trPr>
      <w:tc>
        <w:tcPr>
          <w:tcW w:w="4514" w:type="dxa"/>
        </w:tcPr>
        <w:p w14:paraId="77F1CC6A" w14:textId="3D6CBCBC" w:rsidR="00990918" w:rsidRPr="00EA1767" w:rsidRDefault="006D4D74" w:rsidP="00EA1767">
          <w:pPr>
            <w:pStyle w:val="Footer"/>
            <w:jc w:val="left"/>
            <w:rPr>
              <w:rFonts w:cs="Arial"/>
              <w:sz w:val="16"/>
              <w:szCs w:val="16"/>
              <w:lang w:val="en-US" w:eastAsia="ja-JP" w:bidi="ar-SA"/>
            </w:rPr>
          </w:pPr>
          <w:r w:rsidRPr="00EA1767">
            <w:rPr>
              <w:rFonts w:cs="Arial"/>
              <w:sz w:val="16"/>
              <w:szCs w:val="16"/>
              <w:lang w:val="en-US" w:eastAsia="ja-JP" w:bidi="ar-SA"/>
            </w:rPr>
            <w:t>SuppTsandCsForOLS(Aca)(WW)(</w:t>
          </w:r>
          <w:r w:rsidR="00EA1767">
            <w:rPr>
              <w:rFonts w:cs="Arial"/>
              <w:sz w:val="16"/>
              <w:szCs w:val="16"/>
              <w:lang w:val="en-US" w:eastAsia="ja-JP" w:bidi="ar-SA"/>
            </w:rPr>
            <w:t>TUR</w:t>
          </w:r>
          <w:r w:rsidRPr="00EA1767">
            <w:rPr>
              <w:rFonts w:cs="Arial"/>
              <w:sz w:val="16"/>
              <w:szCs w:val="16"/>
              <w:lang w:val="en-US" w:eastAsia="ja-JP" w:bidi="ar-SA"/>
            </w:rPr>
            <w:t>)(Aug2016)</w:t>
          </w:r>
        </w:p>
      </w:tc>
      <w:tc>
        <w:tcPr>
          <w:tcW w:w="4515" w:type="dxa"/>
        </w:tcPr>
        <w:p w14:paraId="77F1CC6B" w14:textId="1EC2E854" w:rsidR="00990918" w:rsidRDefault="00990918" w:rsidP="00EA1767">
          <w:pPr>
            <w:pStyle w:val="Footer"/>
            <w:jc w:val="right"/>
            <w:rPr>
              <w:rFonts w:cs="Arial"/>
              <w:sz w:val="16"/>
              <w:szCs w:val="16"/>
              <w:lang w:val="en-US" w:eastAsia="ja-JP" w:bidi="ar-SA"/>
            </w:rPr>
          </w:pPr>
          <w:r w:rsidRPr="00EA1767">
            <w:rPr>
              <w:rFonts w:cs="Arial"/>
              <w:sz w:val="16"/>
              <w:szCs w:val="16"/>
              <w:lang w:val="en-US" w:eastAsia="ja-JP" w:bidi="ar-SA"/>
            </w:rPr>
            <w:t xml:space="preserve">Page </w:t>
          </w:r>
          <w:r w:rsidRPr="00EA1767">
            <w:rPr>
              <w:rFonts w:cs="Arial"/>
              <w:sz w:val="16"/>
              <w:szCs w:val="16"/>
              <w:lang w:val="en-US" w:eastAsia="ja-JP" w:bidi="ar-SA"/>
            </w:rPr>
            <w:fldChar w:fldCharType="begin"/>
          </w:r>
          <w:r w:rsidRPr="00EA1767">
            <w:rPr>
              <w:rFonts w:cs="Arial"/>
              <w:sz w:val="16"/>
              <w:szCs w:val="16"/>
              <w:lang w:val="en-US" w:eastAsia="ja-JP" w:bidi="ar-SA"/>
            </w:rPr>
            <w:instrText xml:space="preserve"> PAGE </w:instrText>
          </w:r>
          <w:r w:rsidRPr="00EA1767">
            <w:rPr>
              <w:rFonts w:cs="Arial"/>
              <w:sz w:val="16"/>
              <w:szCs w:val="16"/>
              <w:lang w:val="en-US" w:eastAsia="ja-JP" w:bidi="ar-SA"/>
            </w:rPr>
            <w:fldChar w:fldCharType="separate"/>
          </w:r>
          <w:r w:rsidR="008210D0">
            <w:rPr>
              <w:rFonts w:cs="Arial"/>
              <w:noProof/>
              <w:sz w:val="16"/>
              <w:szCs w:val="16"/>
              <w:lang w:val="en-US" w:eastAsia="ja-JP" w:bidi="ar-SA"/>
            </w:rPr>
            <w:t>1</w:t>
          </w:r>
          <w:r w:rsidRPr="00EA1767">
            <w:rPr>
              <w:rFonts w:cs="Arial"/>
              <w:sz w:val="16"/>
              <w:szCs w:val="16"/>
              <w:lang w:val="en-US" w:eastAsia="ja-JP" w:bidi="ar-SA"/>
            </w:rPr>
            <w:fldChar w:fldCharType="end"/>
          </w:r>
          <w:r w:rsidRPr="00EA1767">
            <w:rPr>
              <w:rFonts w:cs="Arial"/>
              <w:sz w:val="16"/>
              <w:szCs w:val="16"/>
              <w:lang w:val="en-US" w:eastAsia="ja-JP" w:bidi="ar-SA"/>
            </w:rPr>
            <w:t xml:space="preserve"> of </w:t>
          </w:r>
          <w:r w:rsidRPr="00EA1767">
            <w:rPr>
              <w:rFonts w:cs="Arial"/>
              <w:sz w:val="16"/>
              <w:szCs w:val="16"/>
              <w:lang w:val="en-US" w:eastAsia="ja-JP" w:bidi="ar-SA"/>
            </w:rPr>
            <w:fldChar w:fldCharType="begin"/>
          </w:r>
          <w:r w:rsidRPr="00EA1767">
            <w:rPr>
              <w:rFonts w:cs="Arial"/>
              <w:sz w:val="16"/>
              <w:szCs w:val="16"/>
              <w:lang w:val="en-US" w:eastAsia="ja-JP" w:bidi="ar-SA"/>
            </w:rPr>
            <w:instrText xml:space="preserve"> NUMPAGES  </w:instrText>
          </w:r>
          <w:r w:rsidRPr="00EA1767">
            <w:rPr>
              <w:rFonts w:cs="Arial"/>
              <w:sz w:val="16"/>
              <w:szCs w:val="16"/>
              <w:lang w:val="en-US" w:eastAsia="ja-JP" w:bidi="ar-SA"/>
            </w:rPr>
            <w:fldChar w:fldCharType="separate"/>
          </w:r>
          <w:r w:rsidR="008210D0">
            <w:rPr>
              <w:rFonts w:cs="Arial"/>
              <w:noProof/>
              <w:sz w:val="16"/>
              <w:szCs w:val="16"/>
              <w:lang w:val="en-US" w:eastAsia="ja-JP" w:bidi="ar-SA"/>
            </w:rPr>
            <w:t>3</w:t>
          </w:r>
          <w:r w:rsidRPr="00EA1767">
            <w:rPr>
              <w:rFonts w:cs="Arial"/>
              <w:sz w:val="16"/>
              <w:szCs w:val="16"/>
              <w:lang w:val="en-US" w:eastAsia="ja-JP" w:bidi="ar-SA"/>
            </w:rPr>
            <w:fldChar w:fldCharType="end"/>
          </w:r>
        </w:p>
        <w:p w14:paraId="035A003B" w14:textId="7E75B785" w:rsidR="008210D0" w:rsidRPr="00EA1767" w:rsidRDefault="008210D0" w:rsidP="00EA1767">
          <w:pPr>
            <w:pStyle w:val="Footer"/>
            <w:jc w:val="right"/>
            <w:rPr>
              <w:rFonts w:cs="Arial"/>
              <w:sz w:val="16"/>
              <w:szCs w:val="16"/>
              <w:lang w:val="en-US" w:eastAsia="ja-JP" w:bidi="ar-SA"/>
            </w:rPr>
          </w:pPr>
          <w:r>
            <w:rPr>
              <w:rFonts w:cs="Arial"/>
              <w:sz w:val="16"/>
              <w:szCs w:val="16"/>
              <w:lang w:val="en-US" w:eastAsia="ja-JP" w:bidi="ar-SA"/>
            </w:rPr>
            <w:t xml:space="preserve">Document </w:t>
          </w:r>
          <w:r w:rsidRPr="008210D0">
            <w:rPr>
              <w:rFonts w:cs="Arial"/>
              <w:sz w:val="16"/>
              <w:szCs w:val="16"/>
              <w:lang w:val="en-US" w:eastAsia="ja-JP" w:bidi="ar-SA"/>
            </w:rPr>
            <w:t>X20-14389</w:t>
          </w:r>
        </w:p>
        <w:p w14:paraId="77F1CC6C" w14:textId="77777777" w:rsidR="00990918" w:rsidRPr="00EA1767" w:rsidRDefault="00990918" w:rsidP="00EA1767">
          <w:pPr>
            <w:pStyle w:val="Footer"/>
            <w:jc w:val="right"/>
            <w:rPr>
              <w:rFonts w:cs="Arial"/>
              <w:sz w:val="16"/>
              <w:szCs w:val="16"/>
              <w:lang w:val="en-US" w:eastAsia="ja-JP" w:bidi="ar-SA"/>
            </w:rPr>
          </w:pPr>
        </w:p>
      </w:tc>
    </w:tr>
  </w:tbl>
  <w:p w14:paraId="77F1CC6E" w14:textId="77777777" w:rsidR="00990918" w:rsidRPr="00EA1767" w:rsidRDefault="00990918" w:rsidP="00EA1767">
    <w:pPr>
      <w:pStyle w:val="Footer"/>
      <w:jc w:val="left"/>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B1F0BE" w14:textId="77777777" w:rsidR="00071632" w:rsidRDefault="00071632" w:rsidP="00437F11">
      <w:pPr>
        <w:spacing w:before="0"/>
      </w:pPr>
      <w:r>
        <w:separator/>
      </w:r>
    </w:p>
  </w:footnote>
  <w:footnote w:type="continuationSeparator" w:id="0">
    <w:p w14:paraId="781D79AD" w14:textId="77777777" w:rsidR="00071632" w:rsidRDefault="00071632"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9645A3" w14:textId="77777777" w:rsidR="008210D0" w:rsidRDefault="008210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4023B"/>
    <w:rsid w:val="00060836"/>
    <w:rsid w:val="00071632"/>
    <w:rsid w:val="000C6335"/>
    <w:rsid w:val="000D13BB"/>
    <w:rsid w:val="00141DC8"/>
    <w:rsid w:val="00164638"/>
    <w:rsid w:val="00172014"/>
    <w:rsid w:val="00185239"/>
    <w:rsid w:val="001A6164"/>
    <w:rsid w:val="001A7430"/>
    <w:rsid w:val="001B638F"/>
    <w:rsid w:val="001D4400"/>
    <w:rsid w:val="001D774A"/>
    <w:rsid w:val="002156C2"/>
    <w:rsid w:val="0024027E"/>
    <w:rsid w:val="0024293C"/>
    <w:rsid w:val="00274B46"/>
    <w:rsid w:val="00281C7F"/>
    <w:rsid w:val="002C2889"/>
    <w:rsid w:val="002C2D35"/>
    <w:rsid w:val="00357951"/>
    <w:rsid w:val="00377AA4"/>
    <w:rsid w:val="003D6AC0"/>
    <w:rsid w:val="00414B77"/>
    <w:rsid w:val="00437F11"/>
    <w:rsid w:val="00441D37"/>
    <w:rsid w:val="0044736A"/>
    <w:rsid w:val="00467941"/>
    <w:rsid w:val="00494396"/>
    <w:rsid w:val="004B0FEA"/>
    <w:rsid w:val="004B5F7F"/>
    <w:rsid w:val="004C6C05"/>
    <w:rsid w:val="004D3C16"/>
    <w:rsid w:val="004F75DC"/>
    <w:rsid w:val="00504D50"/>
    <w:rsid w:val="0052650F"/>
    <w:rsid w:val="005C1509"/>
    <w:rsid w:val="005D6913"/>
    <w:rsid w:val="005F56D7"/>
    <w:rsid w:val="006200A9"/>
    <w:rsid w:val="00626CD5"/>
    <w:rsid w:val="00645085"/>
    <w:rsid w:val="00662273"/>
    <w:rsid w:val="006666BC"/>
    <w:rsid w:val="006731A2"/>
    <w:rsid w:val="006B3E15"/>
    <w:rsid w:val="006D4D74"/>
    <w:rsid w:val="006E4C4B"/>
    <w:rsid w:val="00705D89"/>
    <w:rsid w:val="00715F80"/>
    <w:rsid w:val="007268BE"/>
    <w:rsid w:val="00727373"/>
    <w:rsid w:val="00727425"/>
    <w:rsid w:val="00732235"/>
    <w:rsid w:val="00737D3E"/>
    <w:rsid w:val="00756EB0"/>
    <w:rsid w:val="00766BFA"/>
    <w:rsid w:val="00770015"/>
    <w:rsid w:val="007775C0"/>
    <w:rsid w:val="00783538"/>
    <w:rsid w:val="007943AD"/>
    <w:rsid w:val="007A559F"/>
    <w:rsid w:val="007B6E40"/>
    <w:rsid w:val="007D508A"/>
    <w:rsid w:val="007E242A"/>
    <w:rsid w:val="007E39DE"/>
    <w:rsid w:val="008210D0"/>
    <w:rsid w:val="00836C19"/>
    <w:rsid w:val="00842612"/>
    <w:rsid w:val="00843AF3"/>
    <w:rsid w:val="008466D3"/>
    <w:rsid w:val="00861C56"/>
    <w:rsid w:val="0089365F"/>
    <w:rsid w:val="009053F7"/>
    <w:rsid w:val="00910467"/>
    <w:rsid w:val="009324C0"/>
    <w:rsid w:val="00934CEC"/>
    <w:rsid w:val="0095265C"/>
    <w:rsid w:val="0095549D"/>
    <w:rsid w:val="00956A1B"/>
    <w:rsid w:val="00956A24"/>
    <w:rsid w:val="00977218"/>
    <w:rsid w:val="00990918"/>
    <w:rsid w:val="00990C0E"/>
    <w:rsid w:val="009B607E"/>
    <w:rsid w:val="009C2E77"/>
    <w:rsid w:val="009D419A"/>
    <w:rsid w:val="009E7577"/>
    <w:rsid w:val="00A02DFA"/>
    <w:rsid w:val="00A2043D"/>
    <w:rsid w:val="00A71A50"/>
    <w:rsid w:val="00A85772"/>
    <w:rsid w:val="00A95F63"/>
    <w:rsid w:val="00AD56EE"/>
    <w:rsid w:val="00B02E03"/>
    <w:rsid w:val="00B40086"/>
    <w:rsid w:val="00B43977"/>
    <w:rsid w:val="00B52AB8"/>
    <w:rsid w:val="00B73434"/>
    <w:rsid w:val="00BB26E4"/>
    <w:rsid w:val="00BE3D8A"/>
    <w:rsid w:val="00C172C9"/>
    <w:rsid w:val="00C2432C"/>
    <w:rsid w:val="00C374FE"/>
    <w:rsid w:val="00C613E7"/>
    <w:rsid w:val="00C61AD0"/>
    <w:rsid w:val="00C722B3"/>
    <w:rsid w:val="00C806DD"/>
    <w:rsid w:val="00C823E0"/>
    <w:rsid w:val="00C947EB"/>
    <w:rsid w:val="00CE2B0A"/>
    <w:rsid w:val="00D25D25"/>
    <w:rsid w:val="00D369BB"/>
    <w:rsid w:val="00D777BD"/>
    <w:rsid w:val="00D82E50"/>
    <w:rsid w:val="00DB2965"/>
    <w:rsid w:val="00DB6DC3"/>
    <w:rsid w:val="00DF717F"/>
    <w:rsid w:val="00E361C0"/>
    <w:rsid w:val="00E378BA"/>
    <w:rsid w:val="00E74F11"/>
    <w:rsid w:val="00E9342D"/>
    <w:rsid w:val="00EA1767"/>
    <w:rsid w:val="00EF0433"/>
    <w:rsid w:val="00EF3D87"/>
    <w:rsid w:val="00F01199"/>
    <w:rsid w:val="00F07D18"/>
    <w:rsid w:val="00F64D0F"/>
    <w:rsid w:val="00F6573C"/>
    <w:rsid w:val="00F91C5F"/>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9GKuLeqy+HW+4cylubKF3DIGFiw=" w:salt="A/EdK+8Hfeb1uyRxKhxEq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tr-TR" w:eastAsia="tr-TR" w:bidi="tr-TR"/>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1172</Words>
  <Characters>6684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7841</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2016-08-18T16:05:00Z</dcterms:modified>
</cp:coreProperties>
</file>